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2407" w14:textId="2E778C7F" w:rsidR="00C9476A" w:rsidRPr="00D91978" w:rsidRDefault="00982762" w:rsidP="00900F42">
      <w:pPr>
        <w:autoSpaceDE w:val="0"/>
        <w:autoSpaceDN w:val="0"/>
        <w:adjustRightInd w:val="0"/>
        <w:spacing w:after="0" w:line="240" w:lineRule="auto"/>
        <w:jc w:val="center"/>
        <w:rPr>
          <w:rFonts w:asciiTheme="majorHAnsi" w:hAnsiTheme="majorHAnsi" w:cstheme="majorHAnsi"/>
          <w:b/>
          <w:sz w:val="28"/>
          <w:szCs w:val="28"/>
        </w:rPr>
      </w:pPr>
      <w:r w:rsidRPr="00D91978">
        <w:rPr>
          <w:rFonts w:asciiTheme="majorHAnsi" w:hAnsiTheme="majorHAnsi" w:cstheme="majorHAnsi"/>
          <w:b/>
          <w:sz w:val="28"/>
          <w:szCs w:val="28"/>
        </w:rPr>
        <w:t>E</w:t>
      </w:r>
      <w:r w:rsidR="00BD7FFC" w:rsidRPr="00D91978">
        <w:rPr>
          <w:rFonts w:asciiTheme="majorHAnsi" w:hAnsiTheme="majorHAnsi" w:cstheme="majorHAnsi"/>
          <w:b/>
          <w:sz w:val="28"/>
          <w:szCs w:val="28"/>
        </w:rPr>
        <w:t>MMANUEL COLLEGE</w:t>
      </w:r>
      <w:r w:rsidR="0087428A" w:rsidRPr="00D91978">
        <w:rPr>
          <w:rFonts w:asciiTheme="majorHAnsi" w:hAnsiTheme="majorHAnsi" w:cstheme="majorHAnsi"/>
          <w:b/>
          <w:sz w:val="28"/>
          <w:szCs w:val="28"/>
        </w:rPr>
        <w:t xml:space="preserve"> </w:t>
      </w:r>
      <w:r w:rsidR="00BD7FFC" w:rsidRPr="00D91978">
        <w:rPr>
          <w:rFonts w:asciiTheme="majorHAnsi" w:hAnsiTheme="majorHAnsi" w:cstheme="majorHAnsi"/>
          <w:b/>
          <w:sz w:val="28"/>
          <w:szCs w:val="28"/>
        </w:rPr>
        <w:t xml:space="preserve">STATEMENT OF </w:t>
      </w:r>
      <w:r w:rsidR="00C30ADC">
        <w:rPr>
          <w:rFonts w:asciiTheme="majorHAnsi" w:hAnsiTheme="majorHAnsi" w:cstheme="majorHAnsi"/>
          <w:b/>
          <w:sz w:val="28"/>
          <w:szCs w:val="28"/>
        </w:rPr>
        <w:t>INSTITUTIONAL</w:t>
      </w:r>
      <w:r w:rsidR="00C30ADC" w:rsidRPr="00D91978">
        <w:rPr>
          <w:rFonts w:asciiTheme="majorHAnsi" w:hAnsiTheme="majorHAnsi" w:cstheme="majorHAnsi"/>
          <w:b/>
          <w:sz w:val="28"/>
          <w:szCs w:val="28"/>
        </w:rPr>
        <w:t xml:space="preserve"> </w:t>
      </w:r>
      <w:r w:rsidR="00BD7FFC" w:rsidRPr="00D91978">
        <w:rPr>
          <w:rFonts w:asciiTheme="majorHAnsi" w:hAnsiTheme="majorHAnsi" w:cstheme="majorHAnsi"/>
          <w:b/>
          <w:sz w:val="28"/>
          <w:szCs w:val="28"/>
        </w:rPr>
        <w:t xml:space="preserve">EFFECTIVENESS </w:t>
      </w:r>
    </w:p>
    <w:p w14:paraId="7A13444F" w14:textId="77777777" w:rsidR="001D03A7" w:rsidRPr="00D91978" w:rsidRDefault="001D03A7" w:rsidP="001D03A7">
      <w:pPr>
        <w:autoSpaceDE w:val="0"/>
        <w:autoSpaceDN w:val="0"/>
        <w:adjustRightInd w:val="0"/>
        <w:spacing w:after="0" w:line="240" w:lineRule="auto"/>
        <w:jc w:val="center"/>
        <w:rPr>
          <w:rFonts w:asciiTheme="majorHAnsi" w:hAnsiTheme="majorHAnsi" w:cstheme="majorHAnsi"/>
          <w:bCs/>
          <w:sz w:val="24"/>
          <w:szCs w:val="24"/>
        </w:rPr>
      </w:pPr>
    </w:p>
    <w:p w14:paraId="5D07EEEB" w14:textId="5457F19A" w:rsidR="00C9476A" w:rsidRPr="00D91978" w:rsidRDefault="00C9476A" w:rsidP="0054113C">
      <w:pPr>
        <w:autoSpaceDE w:val="0"/>
        <w:autoSpaceDN w:val="0"/>
        <w:adjustRightInd w:val="0"/>
        <w:spacing w:after="0" w:line="240" w:lineRule="auto"/>
        <w:rPr>
          <w:rFonts w:asciiTheme="majorHAnsi" w:hAnsiTheme="majorHAnsi" w:cstheme="majorHAnsi"/>
        </w:rPr>
      </w:pPr>
    </w:p>
    <w:p w14:paraId="4CDC8E31" w14:textId="4447C132" w:rsidR="00A90288" w:rsidRPr="00D91978" w:rsidRDefault="00A90288" w:rsidP="0054113C">
      <w:pPr>
        <w:autoSpaceDE w:val="0"/>
        <w:autoSpaceDN w:val="0"/>
        <w:adjustRightInd w:val="0"/>
        <w:spacing w:after="0" w:line="240" w:lineRule="auto"/>
        <w:rPr>
          <w:rFonts w:asciiTheme="majorHAnsi" w:hAnsiTheme="majorHAnsi" w:cstheme="majorHAnsi"/>
        </w:rPr>
      </w:pPr>
    </w:p>
    <w:p w14:paraId="0C48CE0C" w14:textId="2F2B5F11" w:rsidR="00A90288" w:rsidRPr="00D91978" w:rsidRDefault="00A90288" w:rsidP="00A90288">
      <w:p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 xml:space="preserve">Emmanuel College’s curriculum entails a series of interwoven goals arising from </w:t>
      </w:r>
      <w:r w:rsidR="000C2A16" w:rsidRPr="00D91978">
        <w:rPr>
          <w:rFonts w:asciiTheme="majorHAnsi" w:hAnsiTheme="majorHAnsi" w:cstheme="majorHAnsi"/>
        </w:rPr>
        <w:t xml:space="preserve">the </w:t>
      </w:r>
      <w:r w:rsidRPr="00D91978">
        <w:rPr>
          <w:rFonts w:asciiTheme="majorHAnsi" w:hAnsiTheme="majorHAnsi" w:cstheme="majorHAnsi"/>
        </w:rPr>
        <w:t xml:space="preserve">Vision, Mission and Values of the College, directed towards identifiable degree program learning outcomes, and functioning in relationship with several academic, </w:t>
      </w:r>
      <w:r w:rsidR="003E6E5B">
        <w:rPr>
          <w:rFonts w:asciiTheme="majorHAnsi" w:hAnsiTheme="majorHAnsi" w:cstheme="majorHAnsi"/>
        </w:rPr>
        <w:t>religious</w:t>
      </w:r>
      <w:r w:rsidRPr="00D91978">
        <w:rPr>
          <w:rFonts w:asciiTheme="majorHAnsi" w:hAnsiTheme="majorHAnsi" w:cstheme="majorHAnsi"/>
        </w:rPr>
        <w:t xml:space="preserve"> and professional accrediting bodies. Emmanuel College conducts ongoing assessment of the effectiveness of its educational programs in enabling students to attain those goals, in compliance with our various partners, including The Association of Theological Schools (ATS), the University of Toronto Quality Assurance Process (UTQAP), The United Church of Canada (UCC), the </w:t>
      </w:r>
      <w:r w:rsidR="000C2A16" w:rsidRPr="00D91978">
        <w:rPr>
          <w:rFonts w:asciiTheme="majorHAnsi" w:hAnsiTheme="majorHAnsi" w:cstheme="majorHAnsi"/>
        </w:rPr>
        <w:t>Canadian Association for Spiritual Care (C</w:t>
      </w:r>
      <w:r w:rsidR="005E3B63" w:rsidRPr="00D91978">
        <w:rPr>
          <w:rFonts w:asciiTheme="majorHAnsi" w:hAnsiTheme="majorHAnsi" w:cstheme="majorHAnsi"/>
        </w:rPr>
        <w:t>ASC</w:t>
      </w:r>
      <w:r w:rsidR="000C2A16" w:rsidRPr="00D91978">
        <w:rPr>
          <w:rFonts w:asciiTheme="majorHAnsi" w:hAnsiTheme="majorHAnsi" w:cstheme="majorHAnsi"/>
        </w:rPr>
        <w:t xml:space="preserve">) </w:t>
      </w:r>
      <w:r w:rsidR="005E3B63" w:rsidRPr="00D91978">
        <w:rPr>
          <w:rFonts w:asciiTheme="majorHAnsi" w:hAnsiTheme="majorHAnsi" w:cstheme="majorHAnsi"/>
        </w:rPr>
        <w:t xml:space="preserve">and </w:t>
      </w:r>
      <w:r w:rsidR="000C2A16" w:rsidRPr="00D91978">
        <w:rPr>
          <w:rFonts w:asciiTheme="majorHAnsi" w:hAnsiTheme="majorHAnsi" w:cstheme="majorHAnsi"/>
        </w:rPr>
        <w:t xml:space="preserve">the </w:t>
      </w:r>
      <w:r w:rsidRPr="00D91978">
        <w:rPr>
          <w:rFonts w:asciiTheme="majorHAnsi" w:hAnsiTheme="majorHAnsi" w:cstheme="majorHAnsi"/>
        </w:rPr>
        <w:t>College of Registered Psychotherapists of Ontario (CRPO)</w:t>
      </w:r>
      <w:r w:rsidR="00116CA4" w:rsidRPr="00D91978">
        <w:rPr>
          <w:rFonts w:asciiTheme="majorHAnsi" w:hAnsiTheme="majorHAnsi" w:cstheme="majorHAnsi"/>
        </w:rPr>
        <w:t xml:space="preserve">. </w:t>
      </w:r>
      <w:r w:rsidRPr="00D91978">
        <w:rPr>
          <w:rFonts w:asciiTheme="majorHAnsi" w:hAnsiTheme="majorHAnsi" w:cstheme="majorHAnsi"/>
        </w:rPr>
        <w:t xml:space="preserve">A complete program assessment utilizes direct (performance) and indirect (perception) data. This Statement of </w:t>
      </w:r>
      <w:r w:rsidR="005A392C">
        <w:rPr>
          <w:rFonts w:asciiTheme="majorHAnsi" w:hAnsiTheme="majorHAnsi" w:cstheme="majorHAnsi"/>
        </w:rPr>
        <w:t>Institutional</w:t>
      </w:r>
      <w:r w:rsidR="005A392C" w:rsidRPr="00D91978">
        <w:rPr>
          <w:rFonts w:asciiTheme="majorHAnsi" w:hAnsiTheme="majorHAnsi" w:cstheme="majorHAnsi"/>
        </w:rPr>
        <w:t xml:space="preserve"> </w:t>
      </w:r>
      <w:r w:rsidRPr="00D91978">
        <w:rPr>
          <w:rFonts w:asciiTheme="majorHAnsi" w:hAnsiTheme="majorHAnsi" w:cstheme="majorHAnsi"/>
        </w:rPr>
        <w:t>Effectiveness</w:t>
      </w:r>
      <w:r w:rsidR="0087428A" w:rsidRPr="00D91978">
        <w:rPr>
          <w:rFonts w:asciiTheme="majorHAnsi" w:hAnsiTheme="majorHAnsi" w:cstheme="majorHAnsi"/>
        </w:rPr>
        <w:t xml:space="preserve"> </w:t>
      </w:r>
      <w:r w:rsidR="000C2A16" w:rsidRPr="00D91978">
        <w:rPr>
          <w:rFonts w:asciiTheme="majorHAnsi" w:hAnsiTheme="majorHAnsi" w:cstheme="majorHAnsi"/>
        </w:rPr>
        <w:t xml:space="preserve">draws on </w:t>
      </w:r>
      <w:r w:rsidR="00C30ADC" w:rsidRPr="00D91978">
        <w:rPr>
          <w:rFonts w:asciiTheme="majorHAnsi" w:hAnsiTheme="majorHAnsi" w:cstheme="majorHAnsi"/>
        </w:rPr>
        <w:t>evaluation of student artifacts (assignments), and feedback from continuing and graduating students</w:t>
      </w:r>
      <w:r w:rsidR="00C30ADC">
        <w:rPr>
          <w:rFonts w:asciiTheme="majorHAnsi" w:hAnsiTheme="majorHAnsi" w:cstheme="majorHAnsi"/>
        </w:rPr>
        <w:t xml:space="preserve"> to</w:t>
      </w:r>
      <w:r w:rsidR="000C2A16" w:rsidRPr="00D91978">
        <w:rPr>
          <w:rFonts w:asciiTheme="majorHAnsi" w:hAnsiTheme="majorHAnsi" w:cstheme="majorHAnsi"/>
        </w:rPr>
        <w:t xml:space="preserve"> highlight</w:t>
      </w:r>
      <w:r w:rsidR="00C04D18" w:rsidRPr="00D91978">
        <w:rPr>
          <w:rFonts w:asciiTheme="majorHAnsi" w:hAnsiTheme="majorHAnsi" w:cstheme="majorHAnsi"/>
        </w:rPr>
        <w:t xml:space="preserve"> </w:t>
      </w:r>
      <w:r w:rsidR="00C30ADC">
        <w:rPr>
          <w:rFonts w:asciiTheme="majorHAnsi" w:hAnsiTheme="majorHAnsi" w:cstheme="majorHAnsi"/>
        </w:rPr>
        <w:t>educational effectiveness, institutional effectiveness</w:t>
      </w:r>
      <w:r w:rsidR="007766EE">
        <w:rPr>
          <w:rFonts w:asciiTheme="majorHAnsi" w:hAnsiTheme="majorHAnsi" w:cstheme="majorHAnsi"/>
        </w:rPr>
        <w:t xml:space="preserve">, and graduation and </w:t>
      </w:r>
      <w:r w:rsidR="007766EE" w:rsidRPr="00D91978">
        <w:rPr>
          <w:rFonts w:asciiTheme="majorHAnsi" w:hAnsiTheme="majorHAnsi" w:cstheme="majorHAnsi"/>
        </w:rPr>
        <w:t>placement rates</w:t>
      </w:r>
      <w:r w:rsidR="000F3B29" w:rsidRPr="00D91978">
        <w:rPr>
          <w:rFonts w:asciiTheme="majorHAnsi" w:hAnsiTheme="majorHAnsi" w:cstheme="majorHAnsi"/>
        </w:rPr>
        <w:t>.</w:t>
      </w:r>
    </w:p>
    <w:p w14:paraId="2CB8EDDB" w14:textId="77777777" w:rsidR="00A90288" w:rsidRPr="00D91978" w:rsidRDefault="00A90288" w:rsidP="00A90288">
      <w:pPr>
        <w:autoSpaceDE w:val="0"/>
        <w:autoSpaceDN w:val="0"/>
        <w:adjustRightInd w:val="0"/>
        <w:spacing w:after="0" w:line="240" w:lineRule="auto"/>
        <w:rPr>
          <w:rFonts w:asciiTheme="majorHAnsi" w:hAnsiTheme="majorHAnsi" w:cstheme="majorHAnsi"/>
        </w:rPr>
      </w:pPr>
    </w:p>
    <w:p w14:paraId="0FCB7B60" w14:textId="50307373" w:rsidR="00A90288" w:rsidRPr="00D91978" w:rsidRDefault="00A90288" w:rsidP="0054113C">
      <w:pPr>
        <w:autoSpaceDE w:val="0"/>
        <w:autoSpaceDN w:val="0"/>
        <w:adjustRightInd w:val="0"/>
        <w:spacing w:after="0" w:line="240" w:lineRule="auto"/>
        <w:rPr>
          <w:rFonts w:asciiTheme="majorHAnsi" w:hAnsiTheme="majorHAnsi" w:cstheme="majorHAnsi"/>
        </w:rPr>
      </w:pPr>
    </w:p>
    <w:p w14:paraId="6DC9DA37" w14:textId="77777777" w:rsidR="001D03A7" w:rsidRPr="00D91978" w:rsidRDefault="001D03A7" w:rsidP="0054113C">
      <w:pPr>
        <w:autoSpaceDE w:val="0"/>
        <w:autoSpaceDN w:val="0"/>
        <w:adjustRightInd w:val="0"/>
        <w:spacing w:after="0" w:line="240" w:lineRule="auto"/>
        <w:rPr>
          <w:rFonts w:asciiTheme="majorHAnsi" w:hAnsiTheme="majorHAnsi" w:cstheme="majorHAnsi"/>
        </w:rPr>
      </w:pPr>
    </w:p>
    <w:tbl>
      <w:tblPr>
        <w:tblStyle w:val="TableGrid"/>
        <w:tblW w:w="0" w:type="auto"/>
        <w:tblInd w:w="675"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8647"/>
      </w:tblGrid>
      <w:tr w:rsidR="00B4740C" w:rsidRPr="00D91978" w14:paraId="5E2AE402" w14:textId="77777777" w:rsidTr="00B4740C">
        <w:tc>
          <w:tcPr>
            <w:tcW w:w="8647" w:type="dxa"/>
          </w:tcPr>
          <w:p w14:paraId="363D1D9F" w14:textId="77777777" w:rsidR="001D03A7" w:rsidRPr="00D91978" w:rsidRDefault="001D03A7" w:rsidP="00A90288">
            <w:pPr>
              <w:widowControl w:val="0"/>
              <w:spacing w:line="240" w:lineRule="auto"/>
              <w:contextualSpacing/>
              <w:jc w:val="center"/>
              <w:rPr>
                <w:rFonts w:asciiTheme="majorHAnsi" w:eastAsia="Times New Roman" w:hAnsiTheme="majorHAnsi" w:cstheme="majorHAnsi"/>
                <w:b/>
                <w:lang w:eastAsia="en-CA"/>
              </w:rPr>
            </w:pPr>
          </w:p>
          <w:p w14:paraId="079A85AF" w14:textId="73C56F35" w:rsidR="00B4740C" w:rsidRPr="00D91978" w:rsidRDefault="00B4740C" w:rsidP="00A90288">
            <w:pPr>
              <w:widowControl w:val="0"/>
              <w:spacing w:line="240" w:lineRule="auto"/>
              <w:contextualSpacing/>
              <w:jc w:val="center"/>
              <w:rPr>
                <w:rFonts w:asciiTheme="majorHAnsi" w:eastAsia="Times New Roman" w:hAnsiTheme="majorHAnsi" w:cstheme="majorHAnsi"/>
                <w:b/>
                <w:i/>
                <w:iCs/>
                <w:lang w:eastAsia="en-CA"/>
              </w:rPr>
            </w:pPr>
            <w:r w:rsidRPr="00D91978">
              <w:rPr>
                <w:rFonts w:asciiTheme="majorHAnsi" w:eastAsia="Times New Roman" w:hAnsiTheme="majorHAnsi" w:cstheme="majorHAnsi"/>
                <w:b/>
                <w:lang w:eastAsia="en-CA"/>
              </w:rPr>
              <w:t>Emmanuel College Vision, Mission, and Values</w:t>
            </w:r>
            <w:r w:rsidRPr="00D91978">
              <w:rPr>
                <w:rFonts w:asciiTheme="majorHAnsi" w:eastAsia="Times New Roman" w:hAnsiTheme="majorHAnsi" w:cstheme="majorHAnsi"/>
                <w:b/>
                <w:lang w:eastAsia="en-CA"/>
              </w:rPr>
              <w:br/>
            </w:r>
            <w:r w:rsidRPr="00D91978">
              <w:rPr>
                <w:rFonts w:asciiTheme="majorHAnsi" w:eastAsia="Times New Roman" w:hAnsiTheme="majorHAnsi" w:cstheme="majorHAnsi"/>
                <w:bCs/>
                <w:i/>
                <w:iCs/>
                <w:sz w:val="20"/>
                <w:szCs w:val="20"/>
                <w:lang w:eastAsia="en-CA"/>
              </w:rPr>
              <w:t xml:space="preserve">Adopted by EC Council, April 30, 2019 </w:t>
            </w:r>
            <w:r w:rsidR="00A90288" w:rsidRPr="00D91978">
              <w:rPr>
                <w:rFonts w:asciiTheme="majorHAnsi" w:eastAsia="Times New Roman" w:hAnsiTheme="majorHAnsi" w:cstheme="majorHAnsi"/>
                <w:bCs/>
                <w:i/>
                <w:iCs/>
                <w:sz w:val="20"/>
                <w:szCs w:val="20"/>
                <w:lang w:eastAsia="en-CA"/>
              </w:rPr>
              <w:br/>
            </w:r>
          </w:p>
          <w:p w14:paraId="78482E93" w14:textId="77777777" w:rsidR="001D03A7" w:rsidRPr="00D91978" w:rsidRDefault="001D03A7" w:rsidP="00A90288">
            <w:pPr>
              <w:widowControl w:val="0"/>
              <w:spacing w:line="240" w:lineRule="auto"/>
              <w:contextualSpacing/>
              <w:jc w:val="center"/>
              <w:rPr>
                <w:rFonts w:asciiTheme="majorHAnsi" w:eastAsia="Times New Roman" w:hAnsiTheme="majorHAnsi" w:cstheme="majorHAnsi"/>
                <w:b/>
                <w:i/>
                <w:iCs/>
                <w:lang w:eastAsia="en-CA"/>
              </w:rPr>
            </w:pPr>
          </w:p>
          <w:p w14:paraId="05071FDE" w14:textId="042FB405" w:rsidR="00B4740C" w:rsidRPr="00D91978" w:rsidRDefault="00B4740C" w:rsidP="00A90288">
            <w:pPr>
              <w:widowControl w:val="0"/>
              <w:spacing w:after="148" w:line="240" w:lineRule="auto"/>
              <w:contextualSpacing/>
              <w:jc w:val="center"/>
              <w:rPr>
                <w:rFonts w:asciiTheme="majorHAnsi" w:eastAsia="Times New Roman" w:hAnsiTheme="majorHAnsi" w:cstheme="majorHAnsi"/>
                <w:lang w:eastAsia="en-CA"/>
              </w:rPr>
            </w:pPr>
            <w:r w:rsidRPr="00D91978">
              <w:rPr>
                <w:rFonts w:asciiTheme="majorHAnsi" w:eastAsia="Times New Roman" w:hAnsiTheme="majorHAnsi" w:cstheme="majorHAnsi"/>
                <w:b/>
                <w:lang w:eastAsia="en-CA"/>
              </w:rPr>
              <w:t>Vision</w:t>
            </w:r>
            <w:r w:rsidRPr="00D91978">
              <w:rPr>
                <w:rFonts w:asciiTheme="majorHAnsi" w:eastAsia="Times New Roman" w:hAnsiTheme="majorHAnsi" w:cstheme="majorHAnsi"/>
                <w:b/>
                <w:i/>
                <w:iCs/>
                <w:lang w:eastAsia="en-CA"/>
              </w:rPr>
              <w:br/>
            </w:r>
            <w:r w:rsidRPr="00D91978">
              <w:rPr>
                <w:rFonts w:asciiTheme="majorHAnsi" w:eastAsia="Times New Roman" w:hAnsiTheme="majorHAnsi" w:cstheme="majorHAnsi"/>
                <w:lang w:eastAsia="en-CA"/>
              </w:rPr>
              <w:t xml:space="preserve">To be a leading theological school </w:t>
            </w:r>
            <w:r w:rsidRPr="00D91978">
              <w:rPr>
                <w:rFonts w:asciiTheme="majorHAnsi" w:eastAsia="Times New Roman" w:hAnsiTheme="majorHAnsi" w:cstheme="majorHAnsi"/>
                <w:lang w:eastAsia="en-CA"/>
              </w:rPr>
              <w:br/>
              <w:t xml:space="preserve">where students become more deeply rooted in their own religious or spiritual traditions </w:t>
            </w:r>
            <w:r w:rsidRPr="00D91978">
              <w:rPr>
                <w:rFonts w:asciiTheme="majorHAnsi" w:eastAsia="Times New Roman" w:hAnsiTheme="majorHAnsi" w:cstheme="majorHAnsi"/>
                <w:lang w:eastAsia="en-CA"/>
              </w:rPr>
              <w:br/>
              <w:t>while engaging the beliefs and practices of people of other traditions.</w:t>
            </w:r>
          </w:p>
          <w:p w14:paraId="3519C59C" w14:textId="77777777" w:rsidR="001D03A7" w:rsidRPr="00D91978" w:rsidRDefault="001D03A7" w:rsidP="00A90288">
            <w:pPr>
              <w:widowControl w:val="0"/>
              <w:spacing w:after="148" w:line="240" w:lineRule="auto"/>
              <w:contextualSpacing/>
              <w:jc w:val="center"/>
              <w:rPr>
                <w:rFonts w:asciiTheme="majorHAnsi" w:eastAsia="Times New Roman" w:hAnsiTheme="majorHAnsi" w:cstheme="majorHAnsi"/>
                <w:lang w:eastAsia="en-CA"/>
              </w:rPr>
            </w:pPr>
          </w:p>
          <w:p w14:paraId="22069832" w14:textId="77777777" w:rsidR="00B4740C" w:rsidRPr="00D91978" w:rsidRDefault="00B4740C" w:rsidP="00A90288">
            <w:pPr>
              <w:pStyle w:val="NormalWeb"/>
              <w:widowControl w:val="0"/>
              <w:spacing w:before="0" w:beforeAutospacing="0" w:after="0" w:afterAutospacing="0"/>
              <w:contextualSpacing/>
              <w:jc w:val="center"/>
              <w:outlineLvl w:val="4"/>
              <w:rPr>
                <w:rFonts w:asciiTheme="majorHAnsi" w:hAnsiTheme="majorHAnsi" w:cstheme="majorHAnsi"/>
                <w:b/>
                <w:bCs/>
                <w:sz w:val="22"/>
                <w:szCs w:val="22"/>
              </w:rPr>
            </w:pPr>
            <w:r w:rsidRPr="00D91978">
              <w:rPr>
                <w:rFonts w:asciiTheme="majorHAnsi" w:hAnsiTheme="majorHAnsi" w:cstheme="majorHAnsi"/>
                <w:b/>
                <w:bCs/>
                <w:sz w:val="22"/>
                <w:szCs w:val="22"/>
              </w:rPr>
              <w:t>Mission</w:t>
            </w:r>
          </w:p>
          <w:p w14:paraId="72098B34" w14:textId="38BEC871" w:rsidR="00B4740C" w:rsidRPr="00D91978" w:rsidRDefault="00B4740C" w:rsidP="00A90288">
            <w:pPr>
              <w:pStyle w:val="NormalWeb"/>
              <w:widowControl w:val="0"/>
              <w:spacing w:before="0" w:beforeAutospacing="0" w:after="148" w:afterAutospacing="0"/>
              <w:contextualSpacing/>
              <w:jc w:val="center"/>
              <w:rPr>
                <w:rFonts w:asciiTheme="majorHAnsi" w:hAnsiTheme="majorHAnsi" w:cstheme="majorHAnsi"/>
                <w:sz w:val="22"/>
                <w:szCs w:val="22"/>
              </w:rPr>
            </w:pPr>
            <w:r w:rsidRPr="00D91978">
              <w:rPr>
                <w:rFonts w:asciiTheme="majorHAnsi" w:hAnsiTheme="majorHAnsi" w:cstheme="majorHAnsi"/>
                <w:sz w:val="22"/>
                <w:szCs w:val="22"/>
              </w:rPr>
              <w:t xml:space="preserve">Rooted in the ecumenical heritage of the United Church of Canada, </w:t>
            </w:r>
            <w:r w:rsidRPr="00D91978">
              <w:rPr>
                <w:rFonts w:asciiTheme="majorHAnsi" w:hAnsiTheme="majorHAnsi" w:cstheme="majorHAnsi"/>
                <w:sz w:val="22"/>
                <w:szCs w:val="22"/>
              </w:rPr>
              <w:br/>
              <w:t xml:space="preserve">shaped by its context in Victoria University </w:t>
            </w:r>
            <w:r w:rsidRPr="00D91978">
              <w:rPr>
                <w:rFonts w:asciiTheme="majorHAnsi" w:hAnsiTheme="majorHAnsi" w:cstheme="majorHAnsi"/>
                <w:sz w:val="22"/>
                <w:szCs w:val="22"/>
              </w:rPr>
              <w:br/>
              <w:t xml:space="preserve">and in relationship with Christian, Muslim, Buddhist and other religious communities, </w:t>
            </w:r>
            <w:r w:rsidRPr="00D91978">
              <w:rPr>
                <w:rFonts w:asciiTheme="majorHAnsi" w:hAnsiTheme="majorHAnsi" w:cstheme="majorHAnsi"/>
                <w:sz w:val="22"/>
                <w:szCs w:val="22"/>
              </w:rPr>
              <w:br/>
              <w:t xml:space="preserve">Emmanuel College equips leaders and scholars for rigorous theological inquiry </w:t>
            </w:r>
            <w:r w:rsidRPr="00D91978">
              <w:rPr>
                <w:rFonts w:asciiTheme="majorHAnsi" w:hAnsiTheme="majorHAnsi" w:cstheme="majorHAnsi"/>
                <w:sz w:val="22"/>
                <w:szCs w:val="22"/>
              </w:rPr>
              <w:br/>
              <w:t xml:space="preserve">and for inclusive practices of justice and care, contextual analysis, creative activity, </w:t>
            </w:r>
            <w:r w:rsidRPr="00D91978">
              <w:rPr>
                <w:rFonts w:asciiTheme="majorHAnsi" w:hAnsiTheme="majorHAnsi" w:cstheme="majorHAnsi"/>
                <w:sz w:val="22"/>
                <w:szCs w:val="22"/>
              </w:rPr>
              <w:br/>
              <w:t>and interfaith engagement.</w:t>
            </w:r>
          </w:p>
          <w:p w14:paraId="0A1C5791" w14:textId="77777777" w:rsidR="001D03A7" w:rsidRPr="00D91978" w:rsidRDefault="001D03A7" w:rsidP="00A90288">
            <w:pPr>
              <w:pStyle w:val="NormalWeb"/>
              <w:widowControl w:val="0"/>
              <w:spacing w:before="0" w:beforeAutospacing="0" w:after="148" w:afterAutospacing="0"/>
              <w:contextualSpacing/>
              <w:jc w:val="center"/>
              <w:rPr>
                <w:rFonts w:asciiTheme="majorHAnsi" w:hAnsiTheme="majorHAnsi" w:cstheme="majorHAnsi"/>
                <w:sz w:val="22"/>
                <w:szCs w:val="22"/>
              </w:rPr>
            </w:pPr>
          </w:p>
          <w:p w14:paraId="72A28675" w14:textId="06208CE8" w:rsidR="00B4740C" w:rsidRPr="00D91978" w:rsidRDefault="00B4740C" w:rsidP="00A90288">
            <w:pPr>
              <w:widowControl w:val="0"/>
              <w:spacing w:before="240" w:after="148" w:line="240" w:lineRule="auto"/>
              <w:contextualSpacing/>
              <w:jc w:val="center"/>
              <w:outlineLvl w:val="3"/>
              <w:rPr>
                <w:rFonts w:asciiTheme="majorHAnsi" w:eastAsia="Times New Roman" w:hAnsiTheme="majorHAnsi" w:cstheme="majorHAnsi"/>
                <w:b/>
                <w:bCs/>
                <w:lang w:eastAsia="en-CA"/>
              </w:rPr>
            </w:pPr>
            <w:r w:rsidRPr="00D91978">
              <w:rPr>
                <w:rFonts w:asciiTheme="majorHAnsi" w:eastAsia="Times New Roman" w:hAnsiTheme="majorHAnsi" w:cstheme="majorHAnsi"/>
                <w:b/>
                <w:bCs/>
                <w:lang w:eastAsia="en-CA"/>
              </w:rPr>
              <w:t>Values</w:t>
            </w:r>
            <w:r w:rsidRPr="00D91978">
              <w:rPr>
                <w:rFonts w:asciiTheme="majorHAnsi" w:eastAsia="Times New Roman" w:hAnsiTheme="majorHAnsi" w:cstheme="majorHAnsi"/>
                <w:b/>
                <w:bCs/>
                <w:lang w:eastAsia="en-CA"/>
              </w:rPr>
              <w:br/>
            </w:r>
            <w:r w:rsidRPr="00D91978">
              <w:rPr>
                <w:rFonts w:asciiTheme="majorHAnsi" w:eastAsia="Times New Roman" w:hAnsiTheme="majorHAnsi" w:cstheme="majorHAnsi"/>
                <w:lang w:eastAsia="en-CA"/>
              </w:rPr>
              <w:t>Emmanuel College values a collegial environment for</w:t>
            </w:r>
          </w:p>
          <w:p w14:paraId="600D228D" w14:textId="1B8609B8" w:rsidR="00B4740C" w:rsidRPr="00D91978" w:rsidRDefault="001D03A7" w:rsidP="00A90288">
            <w:pPr>
              <w:widowControl w:val="0"/>
              <w:spacing w:after="148" w:line="240" w:lineRule="auto"/>
              <w:ind w:left="2508"/>
              <w:contextualSpacing/>
              <w:rPr>
                <w:rFonts w:asciiTheme="majorHAnsi" w:eastAsia="Times New Roman" w:hAnsiTheme="majorHAnsi" w:cstheme="majorHAnsi"/>
                <w:lang w:eastAsia="en-CA"/>
              </w:rPr>
            </w:pPr>
            <w:r w:rsidRPr="00D91978">
              <w:rPr>
                <w:rFonts w:asciiTheme="majorHAnsi" w:eastAsia="Times New Roman" w:hAnsiTheme="majorHAnsi" w:cstheme="majorHAnsi"/>
                <w:lang w:eastAsia="en-CA"/>
              </w:rPr>
              <w:t>•</w:t>
            </w:r>
            <w:r w:rsidR="00A90288" w:rsidRPr="00D91978">
              <w:rPr>
                <w:rFonts w:asciiTheme="majorHAnsi" w:eastAsia="Times New Roman" w:hAnsiTheme="majorHAnsi" w:cstheme="majorHAnsi"/>
                <w:lang w:eastAsia="en-CA"/>
              </w:rPr>
              <w:t xml:space="preserve"> i</w:t>
            </w:r>
            <w:r w:rsidR="00B4740C" w:rsidRPr="00D91978">
              <w:rPr>
                <w:rFonts w:asciiTheme="majorHAnsi" w:eastAsia="Times New Roman" w:hAnsiTheme="majorHAnsi" w:cstheme="majorHAnsi"/>
                <w:lang w:eastAsia="en-CA"/>
              </w:rPr>
              <w:t>nclusive and respectful dialogue</w:t>
            </w:r>
          </w:p>
          <w:p w14:paraId="72F3525D" w14:textId="3F02CC4B" w:rsidR="00B4740C" w:rsidRPr="00D91978" w:rsidRDefault="001D03A7" w:rsidP="00A90288">
            <w:pPr>
              <w:widowControl w:val="0"/>
              <w:spacing w:after="148" w:line="240" w:lineRule="auto"/>
              <w:ind w:left="2508"/>
              <w:contextualSpacing/>
              <w:rPr>
                <w:rFonts w:asciiTheme="majorHAnsi" w:eastAsia="Times New Roman" w:hAnsiTheme="majorHAnsi" w:cstheme="majorHAnsi"/>
                <w:lang w:eastAsia="en-CA"/>
              </w:rPr>
            </w:pPr>
            <w:r w:rsidRPr="00D91978">
              <w:rPr>
                <w:rFonts w:asciiTheme="majorHAnsi" w:eastAsia="Times New Roman" w:hAnsiTheme="majorHAnsi" w:cstheme="majorHAnsi"/>
                <w:lang w:eastAsia="en-CA"/>
              </w:rPr>
              <w:t>•</w:t>
            </w:r>
            <w:r w:rsidR="00A90288" w:rsidRPr="00D91978">
              <w:rPr>
                <w:rFonts w:asciiTheme="majorHAnsi" w:eastAsia="Times New Roman" w:hAnsiTheme="majorHAnsi" w:cstheme="majorHAnsi"/>
                <w:lang w:eastAsia="en-CA"/>
              </w:rPr>
              <w:t xml:space="preserve"> </w:t>
            </w:r>
            <w:r w:rsidR="00B4740C" w:rsidRPr="00D91978">
              <w:rPr>
                <w:rFonts w:asciiTheme="majorHAnsi" w:eastAsia="Times New Roman" w:hAnsiTheme="majorHAnsi" w:cstheme="majorHAnsi"/>
                <w:lang w:eastAsia="en-CA"/>
              </w:rPr>
              <w:t>intellectual curiosity</w:t>
            </w:r>
          </w:p>
          <w:p w14:paraId="7BAB9D23" w14:textId="22D6E087" w:rsidR="00B4740C" w:rsidRPr="00D91978" w:rsidRDefault="001D03A7" w:rsidP="00A90288">
            <w:pPr>
              <w:widowControl w:val="0"/>
              <w:spacing w:after="148" w:line="240" w:lineRule="auto"/>
              <w:ind w:left="2508"/>
              <w:contextualSpacing/>
              <w:rPr>
                <w:rFonts w:asciiTheme="majorHAnsi" w:eastAsia="Times New Roman" w:hAnsiTheme="majorHAnsi" w:cstheme="majorHAnsi"/>
                <w:lang w:eastAsia="en-CA"/>
              </w:rPr>
            </w:pPr>
            <w:r w:rsidRPr="00D91978">
              <w:rPr>
                <w:rFonts w:asciiTheme="majorHAnsi" w:eastAsia="Times New Roman" w:hAnsiTheme="majorHAnsi" w:cstheme="majorHAnsi"/>
                <w:lang w:eastAsia="en-CA"/>
              </w:rPr>
              <w:t xml:space="preserve">• </w:t>
            </w:r>
            <w:r w:rsidR="00B4740C" w:rsidRPr="00D91978">
              <w:rPr>
                <w:rFonts w:asciiTheme="majorHAnsi" w:eastAsia="Times New Roman" w:hAnsiTheme="majorHAnsi" w:cstheme="majorHAnsi"/>
                <w:lang w:eastAsia="en-CA"/>
              </w:rPr>
              <w:t>academic excellence</w:t>
            </w:r>
          </w:p>
          <w:p w14:paraId="01B84287" w14:textId="10749F60" w:rsidR="00B4740C" w:rsidRPr="00D91978" w:rsidRDefault="001D03A7" w:rsidP="00A90288">
            <w:pPr>
              <w:widowControl w:val="0"/>
              <w:spacing w:after="148" w:line="240" w:lineRule="auto"/>
              <w:ind w:left="2508"/>
              <w:contextualSpacing/>
              <w:rPr>
                <w:rFonts w:asciiTheme="majorHAnsi" w:eastAsia="Times New Roman" w:hAnsiTheme="majorHAnsi" w:cstheme="majorHAnsi"/>
                <w:lang w:eastAsia="en-CA"/>
              </w:rPr>
            </w:pPr>
            <w:r w:rsidRPr="00D91978">
              <w:rPr>
                <w:rFonts w:asciiTheme="majorHAnsi" w:eastAsia="Times New Roman" w:hAnsiTheme="majorHAnsi" w:cstheme="majorHAnsi"/>
                <w:lang w:eastAsia="en-CA"/>
              </w:rPr>
              <w:t>• </w:t>
            </w:r>
            <w:r w:rsidR="00B4740C" w:rsidRPr="00D91978">
              <w:rPr>
                <w:rFonts w:asciiTheme="majorHAnsi" w:eastAsia="Times New Roman" w:hAnsiTheme="majorHAnsi" w:cstheme="majorHAnsi"/>
                <w:lang w:eastAsia="en-CA"/>
              </w:rPr>
              <w:t>public engagement</w:t>
            </w:r>
          </w:p>
          <w:p w14:paraId="14DCDD6F" w14:textId="4CF0B94E" w:rsidR="00B4740C" w:rsidRPr="00D91978" w:rsidRDefault="001D03A7" w:rsidP="00A90288">
            <w:pPr>
              <w:widowControl w:val="0"/>
              <w:spacing w:after="148" w:line="240" w:lineRule="auto"/>
              <w:ind w:left="2508"/>
              <w:contextualSpacing/>
              <w:rPr>
                <w:rFonts w:asciiTheme="majorHAnsi" w:eastAsia="Times New Roman" w:hAnsiTheme="majorHAnsi" w:cstheme="majorHAnsi"/>
                <w:lang w:eastAsia="en-CA"/>
              </w:rPr>
            </w:pPr>
            <w:r w:rsidRPr="00D91978">
              <w:rPr>
                <w:rFonts w:asciiTheme="majorHAnsi" w:eastAsia="Times New Roman" w:hAnsiTheme="majorHAnsi" w:cstheme="majorHAnsi"/>
                <w:lang w:eastAsia="en-CA"/>
              </w:rPr>
              <w:t xml:space="preserve">• </w:t>
            </w:r>
            <w:r w:rsidR="00B4740C" w:rsidRPr="00D91978">
              <w:rPr>
                <w:rFonts w:asciiTheme="majorHAnsi" w:eastAsia="Times New Roman" w:hAnsiTheme="majorHAnsi" w:cstheme="majorHAnsi"/>
                <w:lang w:eastAsia="en-CA"/>
              </w:rPr>
              <w:t>artistic, musical, and liturgical creativity</w:t>
            </w:r>
          </w:p>
          <w:p w14:paraId="78279B21" w14:textId="4193AD53" w:rsidR="00B4740C" w:rsidRPr="00D91978" w:rsidRDefault="001D03A7" w:rsidP="00A90288">
            <w:pPr>
              <w:widowControl w:val="0"/>
              <w:spacing w:after="148" w:line="240" w:lineRule="auto"/>
              <w:ind w:left="2508"/>
              <w:contextualSpacing/>
              <w:rPr>
                <w:rFonts w:asciiTheme="majorHAnsi" w:eastAsia="Times New Roman" w:hAnsiTheme="majorHAnsi" w:cstheme="majorHAnsi"/>
                <w:lang w:eastAsia="en-CA"/>
              </w:rPr>
            </w:pPr>
            <w:r w:rsidRPr="00D91978">
              <w:rPr>
                <w:rFonts w:asciiTheme="majorHAnsi" w:eastAsia="Times New Roman" w:hAnsiTheme="majorHAnsi" w:cstheme="majorHAnsi"/>
                <w:lang w:eastAsia="en-CA"/>
              </w:rPr>
              <w:t xml:space="preserve">• </w:t>
            </w:r>
            <w:r w:rsidR="00B4740C" w:rsidRPr="00D91978">
              <w:rPr>
                <w:rFonts w:asciiTheme="majorHAnsi" w:eastAsia="Times New Roman" w:hAnsiTheme="majorHAnsi" w:cstheme="majorHAnsi"/>
                <w:lang w:eastAsia="en-CA"/>
              </w:rPr>
              <w:t>innovation in interfaith learning</w:t>
            </w:r>
          </w:p>
          <w:p w14:paraId="310902A6" w14:textId="77777777" w:rsidR="00B4740C" w:rsidRPr="00D91978" w:rsidRDefault="001D03A7" w:rsidP="00A90288">
            <w:pPr>
              <w:widowControl w:val="0"/>
              <w:spacing w:after="148" w:line="240" w:lineRule="auto"/>
              <w:ind w:left="2508"/>
              <w:contextualSpacing/>
              <w:rPr>
                <w:rFonts w:asciiTheme="majorHAnsi" w:eastAsia="Times New Roman" w:hAnsiTheme="majorHAnsi" w:cstheme="majorHAnsi"/>
                <w:lang w:eastAsia="en-CA"/>
              </w:rPr>
            </w:pPr>
            <w:r w:rsidRPr="00D91978">
              <w:rPr>
                <w:rFonts w:asciiTheme="majorHAnsi" w:eastAsia="Times New Roman" w:hAnsiTheme="majorHAnsi" w:cstheme="majorHAnsi"/>
                <w:lang w:eastAsia="en-CA"/>
              </w:rPr>
              <w:t>• </w:t>
            </w:r>
            <w:r w:rsidR="00B4740C" w:rsidRPr="00D91978">
              <w:rPr>
                <w:rFonts w:asciiTheme="majorHAnsi" w:eastAsia="Times New Roman" w:hAnsiTheme="majorHAnsi" w:cstheme="majorHAnsi"/>
                <w:lang w:eastAsia="en-CA"/>
              </w:rPr>
              <w:t>the search for justice and right relations</w:t>
            </w:r>
          </w:p>
          <w:p w14:paraId="4A529BAC" w14:textId="62C4C010" w:rsidR="001D03A7" w:rsidRPr="00D91978" w:rsidRDefault="001D03A7" w:rsidP="00A90288">
            <w:pPr>
              <w:widowControl w:val="0"/>
              <w:spacing w:after="148" w:line="240" w:lineRule="auto"/>
              <w:ind w:left="2508"/>
              <w:contextualSpacing/>
              <w:rPr>
                <w:rFonts w:asciiTheme="majorHAnsi" w:eastAsia="Times New Roman" w:hAnsiTheme="majorHAnsi" w:cstheme="majorHAnsi"/>
                <w:sz w:val="20"/>
                <w:szCs w:val="20"/>
                <w:lang w:eastAsia="en-CA"/>
              </w:rPr>
            </w:pPr>
          </w:p>
        </w:tc>
      </w:tr>
    </w:tbl>
    <w:p w14:paraId="2F2F6A0A" w14:textId="77777777" w:rsidR="00B4740C" w:rsidRPr="00D91978" w:rsidRDefault="00B4740C" w:rsidP="0054113C">
      <w:pPr>
        <w:autoSpaceDE w:val="0"/>
        <w:autoSpaceDN w:val="0"/>
        <w:adjustRightInd w:val="0"/>
        <w:spacing w:after="0" w:line="240" w:lineRule="auto"/>
        <w:rPr>
          <w:rFonts w:asciiTheme="majorHAnsi" w:hAnsiTheme="majorHAnsi" w:cstheme="majorHAnsi"/>
        </w:rPr>
      </w:pPr>
    </w:p>
    <w:p w14:paraId="3BDDFDCD" w14:textId="77777777" w:rsidR="009D6A5C" w:rsidRPr="00D91978" w:rsidRDefault="009D6A5C" w:rsidP="009F4F88">
      <w:pPr>
        <w:autoSpaceDE w:val="0"/>
        <w:autoSpaceDN w:val="0"/>
        <w:adjustRightInd w:val="0"/>
        <w:spacing w:after="0" w:line="240" w:lineRule="auto"/>
        <w:jc w:val="center"/>
        <w:rPr>
          <w:rFonts w:asciiTheme="majorHAnsi" w:hAnsiTheme="majorHAnsi" w:cstheme="majorHAnsi"/>
          <w:b/>
          <w:bCs/>
          <w:sz w:val="24"/>
          <w:szCs w:val="24"/>
          <w:u w:val="single"/>
        </w:rPr>
      </w:pPr>
    </w:p>
    <w:p w14:paraId="59527BA9" w14:textId="77777777" w:rsidR="00D91978" w:rsidRDefault="00D91978" w:rsidP="009F4F88">
      <w:pPr>
        <w:autoSpaceDE w:val="0"/>
        <w:autoSpaceDN w:val="0"/>
        <w:adjustRightInd w:val="0"/>
        <w:spacing w:after="0" w:line="240" w:lineRule="auto"/>
        <w:jc w:val="center"/>
        <w:rPr>
          <w:rFonts w:asciiTheme="majorHAnsi" w:hAnsiTheme="majorHAnsi" w:cstheme="majorHAnsi"/>
          <w:b/>
          <w:bCs/>
          <w:sz w:val="24"/>
          <w:szCs w:val="24"/>
          <w:u w:val="single"/>
        </w:rPr>
      </w:pPr>
    </w:p>
    <w:p w14:paraId="6DAF816A" w14:textId="77777777" w:rsidR="00D91978" w:rsidRDefault="00D91978" w:rsidP="009F4F88">
      <w:pPr>
        <w:autoSpaceDE w:val="0"/>
        <w:autoSpaceDN w:val="0"/>
        <w:adjustRightInd w:val="0"/>
        <w:spacing w:after="0" w:line="240" w:lineRule="auto"/>
        <w:jc w:val="center"/>
        <w:rPr>
          <w:rFonts w:asciiTheme="majorHAnsi" w:hAnsiTheme="majorHAnsi" w:cstheme="majorHAnsi"/>
          <w:b/>
          <w:bCs/>
          <w:sz w:val="24"/>
          <w:szCs w:val="24"/>
          <w:u w:val="single"/>
        </w:rPr>
      </w:pPr>
    </w:p>
    <w:p w14:paraId="5C2E587E" w14:textId="38E9DB87" w:rsidR="00B67662" w:rsidRPr="00D91978" w:rsidRDefault="00B67662" w:rsidP="002E51C3">
      <w:pPr>
        <w:spacing w:after="0"/>
        <w:ind w:firstLine="720"/>
        <w:rPr>
          <w:rFonts w:asciiTheme="majorHAnsi" w:hAnsiTheme="majorHAnsi" w:cstheme="majorHAnsi"/>
        </w:rPr>
      </w:pPr>
    </w:p>
    <w:p w14:paraId="7E9795F1" w14:textId="77777777" w:rsidR="007B5709" w:rsidRPr="00D91978" w:rsidRDefault="007B5709" w:rsidP="00B67662">
      <w:pPr>
        <w:autoSpaceDE w:val="0"/>
        <w:autoSpaceDN w:val="0"/>
        <w:adjustRightInd w:val="0"/>
        <w:spacing w:after="0" w:line="240" w:lineRule="auto"/>
        <w:rPr>
          <w:rFonts w:asciiTheme="majorHAnsi" w:hAnsiTheme="majorHAnsi" w:cstheme="majorHAnsi"/>
        </w:rPr>
      </w:pPr>
    </w:p>
    <w:p w14:paraId="32C47F9F" w14:textId="42369114" w:rsidR="00D0077D" w:rsidRPr="00D91978" w:rsidRDefault="00C563BF" w:rsidP="00D0077D">
      <w:pPr>
        <w:autoSpaceDE w:val="0"/>
        <w:autoSpaceDN w:val="0"/>
        <w:adjustRightInd w:val="0"/>
        <w:spacing w:after="0" w:line="240" w:lineRule="auto"/>
        <w:jc w:val="center"/>
        <w:rPr>
          <w:rFonts w:asciiTheme="majorHAnsi" w:hAnsiTheme="majorHAnsi" w:cstheme="majorHAnsi"/>
          <w:b/>
          <w:bCs/>
          <w:u w:val="single"/>
        </w:rPr>
      </w:pPr>
      <w:r w:rsidRPr="002E51C3">
        <w:rPr>
          <w:rFonts w:asciiTheme="majorHAnsi" w:hAnsiTheme="majorHAnsi" w:cstheme="majorHAnsi"/>
          <w:b/>
          <w:bCs/>
        </w:rPr>
        <w:t>1</w:t>
      </w:r>
      <w:r w:rsidR="006F53DE" w:rsidRPr="002E51C3">
        <w:rPr>
          <w:rFonts w:asciiTheme="majorHAnsi" w:hAnsiTheme="majorHAnsi" w:cstheme="majorHAnsi"/>
          <w:b/>
          <w:bCs/>
        </w:rPr>
        <w:t xml:space="preserve">. </w:t>
      </w:r>
      <w:r w:rsidR="00C875B3" w:rsidRPr="002E51C3">
        <w:rPr>
          <w:rFonts w:asciiTheme="majorHAnsi" w:hAnsiTheme="majorHAnsi" w:cstheme="majorHAnsi"/>
          <w:b/>
          <w:bCs/>
        </w:rPr>
        <w:t xml:space="preserve">INSTITUTIONAL </w:t>
      </w:r>
      <w:r w:rsidR="006F53DE" w:rsidRPr="002E51C3">
        <w:rPr>
          <w:rFonts w:asciiTheme="majorHAnsi" w:hAnsiTheme="majorHAnsi" w:cstheme="majorHAnsi"/>
          <w:b/>
          <w:bCs/>
        </w:rPr>
        <w:t>EFFECTIVENESS</w:t>
      </w:r>
    </w:p>
    <w:p w14:paraId="1E2CFCB2" w14:textId="77777777" w:rsidR="002850E0" w:rsidRPr="00D91978" w:rsidRDefault="002850E0" w:rsidP="002E51C3">
      <w:pPr>
        <w:autoSpaceDE w:val="0"/>
        <w:autoSpaceDN w:val="0"/>
        <w:adjustRightInd w:val="0"/>
        <w:spacing w:after="0" w:line="240" w:lineRule="auto"/>
        <w:jc w:val="center"/>
        <w:rPr>
          <w:rFonts w:asciiTheme="majorHAnsi" w:hAnsiTheme="majorHAnsi" w:cstheme="majorHAnsi"/>
        </w:rPr>
      </w:pPr>
    </w:p>
    <w:p w14:paraId="432B3E4A" w14:textId="5F57D758" w:rsidR="005B0586" w:rsidRDefault="006F53DE" w:rsidP="00B67662">
      <w:p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 xml:space="preserve">In 2019 </w:t>
      </w:r>
      <w:r w:rsidR="006672FC" w:rsidRPr="00D91978">
        <w:rPr>
          <w:rFonts w:asciiTheme="majorHAnsi" w:hAnsiTheme="majorHAnsi" w:cstheme="majorHAnsi"/>
        </w:rPr>
        <w:t xml:space="preserve">Emmanuel College adopted a revised statement of Vision, Mission and Values </w:t>
      </w:r>
      <w:r w:rsidR="009E2DF2" w:rsidRPr="00D91978">
        <w:rPr>
          <w:rFonts w:asciiTheme="majorHAnsi" w:hAnsiTheme="majorHAnsi" w:cstheme="majorHAnsi"/>
        </w:rPr>
        <w:t>(VMV</w:t>
      </w:r>
      <w:r w:rsidR="006672FC" w:rsidRPr="00D91978">
        <w:rPr>
          <w:rFonts w:asciiTheme="majorHAnsi" w:hAnsiTheme="majorHAnsi" w:cstheme="majorHAnsi"/>
        </w:rPr>
        <w:t xml:space="preserve">) and related learning outcomes for all its programs, bringing greater clarity and focus to our work of theological education in an interreligious context. </w:t>
      </w:r>
      <w:r w:rsidR="00511E19">
        <w:rPr>
          <w:rFonts w:asciiTheme="majorHAnsi" w:hAnsiTheme="majorHAnsi" w:cstheme="majorHAnsi"/>
        </w:rPr>
        <w:t>In 2020, t</w:t>
      </w:r>
      <w:r w:rsidR="006672FC" w:rsidRPr="00D91978">
        <w:rPr>
          <w:rFonts w:asciiTheme="majorHAnsi" w:hAnsiTheme="majorHAnsi" w:cstheme="majorHAnsi"/>
        </w:rPr>
        <w:t>o</w:t>
      </w:r>
      <w:r w:rsidRPr="00D91978">
        <w:rPr>
          <w:rFonts w:asciiTheme="majorHAnsi" w:hAnsiTheme="majorHAnsi" w:cstheme="majorHAnsi"/>
        </w:rPr>
        <w:t xml:space="preserve"> </w:t>
      </w:r>
      <w:r w:rsidR="006672FC" w:rsidRPr="00D91978">
        <w:rPr>
          <w:rFonts w:asciiTheme="majorHAnsi" w:hAnsiTheme="majorHAnsi" w:cstheme="majorHAnsi"/>
        </w:rPr>
        <w:t xml:space="preserve">augment </w:t>
      </w:r>
      <w:r w:rsidRPr="00D91978">
        <w:rPr>
          <w:rFonts w:asciiTheme="majorHAnsi" w:hAnsiTheme="majorHAnsi" w:cstheme="majorHAnsi"/>
        </w:rPr>
        <w:t xml:space="preserve">the </w:t>
      </w:r>
      <w:r w:rsidR="00511E19">
        <w:rPr>
          <w:rFonts w:asciiTheme="majorHAnsi" w:hAnsiTheme="majorHAnsi" w:cstheme="majorHAnsi"/>
        </w:rPr>
        <w:t>ATS</w:t>
      </w:r>
      <w:r w:rsidRPr="00D91978">
        <w:rPr>
          <w:rFonts w:asciiTheme="majorHAnsi" w:hAnsiTheme="majorHAnsi" w:cstheme="majorHAnsi"/>
        </w:rPr>
        <w:t xml:space="preserve"> GSQ data</w:t>
      </w:r>
      <w:r w:rsidR="00511E19">
        <w:rPr>
          <w:rFonts w:asciiTheme="majorHAnsi" w:hAnsiTheme="majorHAnsi" w:cstheme="majorHAnsi"/>
        </w:rPr>
        <w:t xml:space="preserve"> </w:t>
      </w:r>
      <w:r w:rsidR="005B0586" w:rsidRPr="00D91978">
        <w:rPr>
          <w:rFonts w:asciiTheme="majorHAnsi" w:hAnsiTheme="majorHAnsi" w:cstheme="majorHAnsi"/>
        </w:rPr>
        <w:t xml:space="preserve">and </w:t>
      </w:r>
      <w:r w:rsidRPr="00D91978">
        <w:rPr>
          <w:rFonts w:asciiTheme="majorHAnsi" w:hAnsiTheme="majorHAnsi" w:cstheme="majorHAnsi"/>
        </w:rPr>
        <w:t xml:space="preserve">in support of </w:t>
      </w:r>
      <w:r w:rsidR="00511E19">
        <w:rPr>
          <w:rFonts w:asciiTheme="majorHAnsi" w:hAnsiTheme="majorHAnsi" w:cstheme="majorHAnsi"/>
        </w:rPr>
        <w:t xml:space="preserve">the </w:t>
      </w:r>
      <w:r w:rsidRPr="00D91978">
        <w:rPr>
          <w:rFonts w:asciiTheme="majorHAnsi" w:hAnsiTheme="majorHAnsi" w:cstheme="majorHAnsi"/>
        </w:rPr>
        <w:t xml:space="preserve">ATS </w:t>
      </w:r>
      <w:r w:rsidR="006672FC" w:rsidRPr="00D91978">
        <w:rPr>
          <w:rFonts w:asciiTheme="majorHAnsi" w:hAnsiTheme="majorHAnsi" w:cstheme="majorHAnsi"/>
        </w:rPr>
        <w:t xml:space="preserve">accreditation </w:t>
      </w:r>
      <w:r w:rsidRPr="00D91978">
        <w:rPr>
          <w:rFonts w:asciiTheme="majorHAnsi" w:hAnsiTheme="majorHAnsi" w:cstheme="majorHAnsi"/>
        </w:rPr>
        <w:t>process, a new Emmanuel College Basic Degree</w:t>
      </w:r>
      <w:r w:rsidR="006672FC" w:rsidRPr="00D91978">
        <w:rPr>
          <w:rFonts w:asciiTheme="majorHAnsi" w:hAnsiTheme="majorHAnsi" w:cstheme="majorHAnsi"/>
        </w:rPr>
        <w:t xml:space="preserve"> Programs </w:t>
      </w:r>
      <w:r w:rsidR="005B0586" w:rsidRPr="00D91978">
        <w:rPr>
          <w:rFonts w:asciiTheme="majorHAnsi" w:hAnsiTheme="majorHAnsi" w:cstheme="majorHAnsi"/>
        </w:rPr>
        <w:t>S</w:t>
      </w:r>
      <w:r w:rsidR="006672FC" w:rsidRPr="00D91978">
        <w:rPr>
          <w:rFonts w:asciiTheme="majorHAnsi" w:hAnsiTheme="majorHAnsi" w:cstheme="majorHAnsi"/>
        </w:rPr>
        <w:t xml:space="preserve">urvey was designed to </w:t>
      </w:r>
      <w:r w:rsidR="005B0586" w:rsidRPr="00D91978">
        <w:rPr>
          <w:rFonts w:asciiTheme="majorHAnsi" w:hAnsiTheme="majorHAnsi" w:cstheme="majorHAnsi"/>
        </w:rPr>
        <w:t xml:space="preserve">assess our educational effectiveness </w:t>
      </w:r>
      <w:r w:rsidR="007B5709" w:rsidRPr="00D91978">
        <w:rPr>
          <w:rFonts w:asciiTheme="majorHAnsi" w:hAnsiTheme="majorHAnsi" w:cstheme="majorHAnsi"/>
        </w:rPr>
        <w:t xml:space="preserve">more explicitly </w:t>
      </w:r>
      <w:r w:rsidR="005B0586" w:rsidRPr="00D91978">
        <w:rPr>
          <w:rFonts w:asciiTheme="majorHAnsi" w:hAnsiTheme="majorHAnsi" w:cstheme="majorHAnsi"/>
        </w:rPr>
        <w:t xml:space="preserve">in relation to our stated VMV. </w:t>
      </w:r>
    </w:p>
    <w:p w14:paraId="7FDF83DF" w14:textId="77777777" w:rsidR="00EE4F45" w:rsidRDefault="00EE4F45" w:rsidP="00B67662">
      <w:pPr>
        <w:autoSpaceDE w:val="0"/>
        <w:autoSpaceDN w:val="0"/>
        <w:adjustRightInd w:val="0"/>
        <w:spacing w:after="0" w:line="240" w:lineRule="auto"/>
        <w:rPr>
          <w:rFonts w:asciiTheme="majorHAnsi" w:hAnsiTheme="majorHAnsi" w:cstheme="majorHAnsi"/>
        </w:rPr>
      </w:pPr>
    </w:p>
    <w:p w14:paraId="7F49BA07" w14:textId="737FEAF1" w:rsidR="00EE4F45" w:rsidRDefault="00EE4F45" w:rsidP="00B67662">
      <w:pPr>
        <w:autoSpaceDE w:val="0"/>
        <w:autoSpaceDN w:val="0"/>
        <w:adjustRightInd w:val="0"/>
        <w:spacing w:after="0" w:line="240" w:lineRule="auto"/>
        <w:rPr>
          <w:rFonts w:asciiTheme="majorHAnsi" w:hAnsiTheme="majorHAnsi" w:cstheme="majorHAnsi"/>
        </w:rPr>
      </w:pPr>
      <w:r>
        <w:rPr>
          <w:rFonts w:asciiTheme="majorHAnsi" w:hAnsiTheme="majorHAnsi" w:cstheme="majorHAnsi"/>
        </w:rPr>
        <w:t>Data from both surveys</w:t>
      </w:r>
      <w:r w:rsidRPr="00D91978">
        <w:rPr>
          <w:rFonts w:asciiTheme="majorHAnsi" w:hAnsiTheme="majorHAnsi" w:cstheme="majorHAnsi"/>
        </w:rPr>
        <w:t xml:space="preserve"> demonstrate a high degree of educational effectiveness across all degree programs and a strong degree of support for the dynamic ethos and Vision, Mission and Values of Emmanuel College.</w:t>
      </w:r>
    </w:p>
    <w:p w14:paraId="6F84FA62" w14:textId="77777777" w:rsidR="008F6AA6" w:rsidRPr="00D91978" w:rsidRDefault="008F6AA6" w:rsidP="00B67662">
      <w:pPr>
        <w:autoSpaceDE w:val="0"/>
        <w:autoSpaceDN w:val="0"/>
        <w:adjustRightInd w:val="0"/>
        <w:spacing w:after="0" w:line="240" w:lineRule="auto"/>
        <w:rPr>
          <w:rFonts w:asciiTheme="majorHAnsi" w:hAnsiTheme="majorHAnsi" w:cstheme="majorHAnsi"/>
        </w:rPr>
      </w:pPr>
    </w:p>
    <w:p w14:paraId="7B4D7B00" w14:textId="50E8F83F" w:rsidR="00F95EC2" w:rsidRPr="00D91978" w:rsidRDefault="00EE4F45" w:rsidP="00F95EC2">
      <w:pPr>
        <w:autoSpaceDE w:val="0"/>
        <w:autoSpaceDN w:val="0"/>
        <w:adjustRightInd w:val="0"/>
        <w:spacing w:after="0" w:line="240" w:lineRule="auto"/>
        <w:rPr>
          <w:rFonts w:asciiTheme="majorHAnsi" w:hAnsiTheme="majorHAnsi" w:cstheme="majorHAnsi"/>
          <w:b/>
        </w:rPr>
      </w:pPr>
      <w:r>
        <w:rPr>
          <w:rFonts w:asciiTheme="majorHAnsi" w:hAnsiTheme="majorHAnsi" w:cstheme="majorHAnsi"/>
          <w:b/>
        </w:rPr>
        <w:t>1.1</w:t>
      </w:r>
      <w:r w:rsidR="00F95EC2" w:rsidRPr="00265AA9">
        <w:rPr>
          <w:rFonts w:asciiTheme="majorHAnsi" w:hAnsiTheme="majorHAnsi" w:cstheme="majorHAnsi"/>
          <w:b/>
        </w:rPr>
        <w:t xml:space="preserve"> Vision, Mission and Values</w:t>
      </w:r>
      <w:r w:rsidR="00F95EC2" w:rsidRPr="00D91978">
        <w:rPr>
          <w:rFonts w:asciiTheme="majorHAnsi" w:hAnsiTheme="majorHAnsi" w:cstheme="majorHAnsi"/>
          <w:b/>
        </w:rPr>
        <w:t xml:space="preserve"> </w:t>
      </w:r>
    </w:p>
    <w:p w14:paraId="66749700" w14:textId="0C7C48B9" w:rsidR="00F95EC2" w:rsidRPr="00D91978" w:rsidRDefault="00F95EC2" w:rsidP="00F95EC2">
      <w:p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Feedback from the 202</w:t>
      </w:r>
      <w:r w:rsidR="00C60E83">
        <w:rPr>
          <w:rFonts w:asciiTheme="majorHAnsi" w:hAnsiTheme="majorHAnsi" w:cstheme="majorHAnsi"/>
        </w:rPr>
        <w:t>3</w:t>
      </w:r>
      <w:r w:rsidRPr="00D91978">
        <w:rPr>
          <w:rFonts w:asciiTheme="majorHAnsi" w:hAnsiTheme="majorHAnsi" w:cstheme="majorHAnsi"/>
        </w:rPr>
        <w:t xml:space="preserve"> Emmanuel College Basic Degree Survey demonstrates strong agreement that the College is living up to its Vision, </w:t>
      </w:r>
      <w:proofErr w:type="gramStart"/>
      <w:r w:rsidRPr="00D91978">
        <w:rPr>
          <w:rFonts w:asciiTheme="majorHAnsi" w:hAnsiTheme="majorHAnsi" w:cstheme="majorHAnsi"/>
        </w:rPr>
        <w:t>Mission</w:t>
      </w:r>
      <w:proofErr w:type="gramEnd"/>
      <w:r w:rsidRPr="00D91978">
        <w:rPr>
          <w:rFonts w:asciiTheme="majorHAnsi" w:hAnsiTheme="majorHAnsi" w:cstheme="majorHAnsi"/>
        </w:rPr>
        <w:t xml:space="preserve"> and Values (VMV).</w:t>
      </w:r>
    </w:p>
    <w:p w14:paraId="21D1B956" w14:textId="77777777" w:rsidR="00F95EC2" w:rsidRPr="00D91978" w:rsidRDefault="00F95EC2" w:rsidP="00F95EC2">
      <w:pPr>
        <w:autoSpaceDE w:val="0"/>
        <w:autoSpaceDN w:val="0"/>
        <w:adjustRightInd w:val="0"/>
        <w:spacing w:after="0" w:line="240" w:lineRule="auto"/>
        <w:rPr>
          <w:rFonts w:asciiTheme="majorHAnsi" w:hAnsiTheme="majorHAnsi" w:cstheme="majorHAnsi"/>
          <w:sz w:val="18"/>
          <w:szCs w:val="18"/>
        </w:rPr>
      </w:pPr>
    </w:p>
    <w:p w14:paraId="17515D01" w14:textId="26C7C3AF" w:rsidR="00C24EBB" w:rsidRPr="00D91978" w:rsidRDefault="00D0077D" w:rsidP="00C60E83">
      <w:pPr>
        <w:autoSpaceDE w:val="0"/>
        <w:autoSpaceDN w:val="0"/>
        <w:adjustRightInd w:val="0"/>
        <w:spacing w:after="0" w:line="240" w:lineRule="auto"/>
        <w:rPr>
          <w:rFonts w:asciiTheme="majorHAnsi" w:hAnsiTheme="majorHAnsi" w:cstheme="majorHAnsi"/>
        </w:rPr>
      </w:pPr>
      <w:r>
        <w:rPr>
          <w:rFonts w:asciiTheme="majorHAnsi" w:hAnsiTheme="majorHAnsi" w:cstheme="majorHAnsi"/>
        </w:rPr>
        <w:t>Q</w:t>
      </w:r>
      <w:r w:rsidRPr="00D91978">
        <w:rPr>
          <w:rFonts w:asciiTheme="majorHAnsi" w:hAnsiTheme="majorHAnsi" w:cstheme="majorHAnsi"/>
        </w:rPr>
        <w:t>uoting directly from the College’s “</w:t>
      </w:r>
      <w:r w:rsidRPr="00D91978">
        <w:rPr>
          <w:rFonts w:asciiTheme="majorHAnsi" w:hAnsiTheme="majorHAnsi" w:cstheme="majorHAnsi"/>
          <w:b/>
          <w:bCs/>
        </w:rPr>
        <w:t>Vision</w:t>
      </w:r>
      <w:r w:rsidRPr="00D91978">
        <w:rPr>
          <w:rFonts w:asciiTheme="majorHAnsi" w:hAnsiTheme="majorHAnsi" w:cstheme="majorHAnsi"/>
        </w:rPr>
        <w:t>” statement, students were asked</w:t>
      </w:r>
      <w:r w:rsidR="00C24EBB">
        <w:rPr>
          <w:rFonts w:asciiTheme="majorHAnsi" w:hAnsiTheme="majorHAnsi" w:cstheme="majorHAnsi"/>
        </w:rPr>
        <w:t>,</w:t>
      </w:r>
      <w:r w:rsidRPr="00D91978">
        <w:rPr>
          <w:rFonts w:asciiTheme="majorHAnsi" w:hAnsiTheme="majorHAnsi" w:cstheme="majorHAnsi"/>
        </w:rPr>
        <w:t xml:space="preserve"> “To what extent do you agree with this statement: My education at Emmanuel College has rooted (is rooting) me more deeply in my own religious or spiritual tradition while engaging the beliefs and practices of people of other traditions.”</w:t>
      </w:r>
      <w:r w:rsidR="00C60E83">
        <w:rPr>
          <w:rFonts w:asciiTheme="majorHAnsi" w:hAnsiTheme="majorHAnsi" w:cstheme="majorHAnsi"/>
        </w:rPr>
        <w:t xml:space="preserve"> 85% of students Agreed, or Strongly Agreed with this statement.</w:t>
      </w:r>
    </w:p>
    <w:p w14:paraId="0AFF6864" w14:textId="77777777" w:rsidR="00F95EC2" w:rsidRPr="00D91978" w:rsidRDefault="00F95EC2" w:rsidP="00F95EC2">
      <w:pPr>
        <w:autoSpaceDE w:val="0"/>
        <w:autoSpaceDN w:val="0"/>
        <w:adjustRightInd w:val="0"/>
        <w:spacing w:after="0" w:line="240" w:lineRule="auto"/>
        <w:rPr>
          <w:rFonts w:asciiTheme="majorHAnsi" w:hAnsiTheme="majorHAnsi" w:cstheme="majorHAnsi"/>
        </w:rPr>
      </w:pPr>
    </w:p>
    <w:p w14:paraId="3F376014" w14:textId="21F0BCFB" w:rsidR="00F95EC2" w:rsidRPr="00697D90" w:rsidRDefault="009B6A65" w:rsidP="00997E0F">
      <w:pPr>
        <w:autoSpaceDE w:val="0"/>
        <w:autoSpaceDN w:val="0"/>
        <w:adjustRightInd w:val="0"/>
        <w:spacing w:after="0" w:line="240" w:lineRule="auto"/>
        <w:rPr>
          <w:rFonts w:asciiTheme="majorHAnsi" w:hAnsiTheme="majorHAnsi" w:cstheme="majorHAnsi"/>
        </w:rPr>
      </w:pPr>
      <w:r w:rsidRPr="00697D90">
        <w:rPr>
          <w:rFonts w:asciiTheme="majorHAnsi" w:hAnsiTheme="majorHAnsi" w:cstheme="majorHAnsi"/>
        </w:rPr>
        <w:t xml:space="preserve">Student responses to </w:t>
      </w:r>
      <w:r w:rsidR="00790683" w:rsidRPr="00697D90">
        <w:rPr>
          <w:rFonts w:asciiTheme="majorHAnsi" w:hAnsiTheme="majorHAnsi" w:cstheme="majorHAnsi"/>
        </w:rPr>
        <w:t xml:space="preserve">questions related to the </w:t>
      </w:r>
      <w:r w:rsidR="00F95EC2" w:rsidRPr="00697D90">
        <w:rPr>
          <w:rFonts w:asciiTheme="majorHAnsi" w:hAnsiTheme="majorHAnsi" w:cstheme="majorHAnsi"/>
        </w:rPr>
        <w:t>“</w:t>
      </w:r>
      <w:r w:rsidR="00F95EC2" w:rsidRPr="00697D90">
        <w:rPr>
          <w:rFonts w:asciiTheme="majorHAnsi" w:hAnsiTheme="majorHAnsi" w:cstheme="majorHAnsi"/>
          <w:b/>
          <w:bCs/>
        </w:rPr>
        <w:t>Mission</w:t>
      </w:r>
      <w:r w:rsidR="00F95EC2" w:rsidRPr="00697D90">
        <w:rPr>
          <w:rFonts w:asciiTheme="majorHAnsi" w:hAnsiTheme="majorHAnsi" w:cstheme="majorHAnsi"/>
        </w:rPr>
        <w:t>” of the College</w:t>
      </w:r>
      <w:r w:rsidR="00790683" w:rsidRPr="00697D90">
        <w:rPr>
          <w:rFonts w:asciiTheme="majorHAnsi" w:hAnsiTheme="majorHAnsi" w:cstheme="majorHAnsi"/>
        </w:rPr>
        <w:t xml:space="preserve"> </w:t>
      </w:r>
      <w:r w:rsidR="00316766" w:rsidRPr="00697D90">
        <w:rPr>
          <w:rFonts w:asciiTheme="majorHAnsi" w:hAnsiTheme="majorHAnsi" w:cstheme="majorHAnsi"/>
        </w:rPr>
        <w:t xml:space="preserve">also </w:t>
      </w:r>
      <w:r w:rsidR="00790683" w:rsidRPr="00697D90">
        <w:rPr>
          <w:rFonts w:asciiTheme="majorHAnsi" w:hAnsiTheme="majorHAnsi" w:cstheme="majorHAnsi"/>
        </w:rPr>
        <w:t xml:space="preserve">indicate </w:t>
      </w:r>
      <w:r w:rsidR="00BF6D66" w:rsidRPr="00697D90">
        <w:rPr>
          <w:rFonts w:asciiTheme="majorHAnsi" w:hAnsiTheme="majorHAnsi" w:cstheme="majorHAnsi"/>
        </w:rPr>
        <w:t xml:space="preserve">effectiveness at both aspects of this vision, with strong ratings of </w:t>
      </w:r>
      <w:r w:rsidR="00F95EC2" w:rsidRPr="00697D90">
        <w:rPr>
          <w:rFonts w:asciiTheme="majorHAnsi" w:hAnsiTheme="majorHAnsi" w:cstheme="majorHAnsi"/>
        </w:rPr>
        <w:t>“effective” or “very effective”</w:t>
      </w:r>
      <w:r w:rsidR="00BF6D66" w:rsidRPr="00697D90">
        <w:rPr>
          <w:rFonts w:asciiTheme="majorHAnsi" w:hAnsiTheme="majorHAnsi" w:cstheme="majorHAnsi"/>
        </w:rPr>
        <w:t xml:space="preserve"> on the goal of</w:t>
      </w:r>
      <w:r w:rsidR="00F95EC2" w:rsidRPr="00697D90">
        <w:rPr>
          <w:rFonts w:asciiTheme="majorHAnsi" w:hAnsiTheme="majorHAnsi" w:cstheme="majorHAnsi"/>
        </w:rPr>
        <w:t xml:space="preserve"> </w:t>
      </w:r>
      <w:r w:rsidR="00997E0F" w:rsidRPr="00997E0F">
        <w:rPr>
          <w:rFonts w:asciiTheme="majorHAnsi" w:hAnsiTheme="majorHAnsi" w:cstheme="majorHAnsi"/>
        </w:rPr>
        <w:t>rigorous theological</w:t>
      </w:r>
      <w:r w:rsidR="00997E0F">
        <w:rPr>
          <w:rFonts w:asciiTheme="majorHAnsi" w:hAnsiTheme="majorHAnsi" w:cstheme="majorHAnsi"/>
        </w:rPr>
        <w:t xml:space="preserve"> </w:t>
      </w:r>
      <w:r w:rsidR="00997E0F" w:rsidRPr="00997E0F">
        <w:rPr>
          <w:rFonts w:asciiTheme="majorHAnsi" w:hAnsiTheme="majorHAnsi" w:cstheme="majorHAnsi"/>
        </w:rPr>
        <w:t xml:space="preserve">inquiry </w:t>
      </w:r>
      <w:r w:rsidR="00F95EC2" w:rsidRPr="002E51C3">
        <w:rPr>
          <w:rFonts w:asciiTheme="majorHAnsi" w:hAnsiTheme="majorHAnsi" w:cstheme="majorHAnsi"/>
        </w:rPr>
        <w:t>(</w:t>
      </w:r>
      <w:r w:rsidR="00997E0F">
        <w:rPr>
          <w:rFonts w:asciiTheme="majorHAnsi" w:hAnsiTheme="majorHAnsi" w:cstheme="majorHAnsi"/>
        </w:rPr>
        <w:t>8</w:t>
      </w:r>
      <w:r w:rsidR="00F95EC2" w:rsidRPr="002E51C3">
        <w:rPr>
          <w:rFonts w:asciiTheme="majorHAnsi" w:hAnsiTheme="majorHAnsi" w:cstheme="majorHAnsi"/>
        </w:rPr>
        <w:t>5%)</w:t>
      </w:r>
      <w:r w:rsidR="00697D90" w:rsidRPr="002E51C3">
        <w:rPr>
          <w:rFonts w:asciiTheme="majorHAnsi" w:hAnsiTheme="majorHAnsi" w:cstheme="majorHAnsi"/>
        </w:rPr>
        <w:t>, alongside consensus that their education</w:t>
      </w:r>
      <w:r w:rsidR="00997E0F">
        <w:rPr>
          <w:rFonts w:asciiTheme="majorHAnsi" w:hAnsiTheme="majorHAnsi" w:cstheme="majorHAnsi"/>
        </w:rPr>
        <w:t xml:space="preserve"> engaged</w:t>
      </w:r>
      <w:r w:rsidR="00517EBB" w:rsidRPr="002E51C3">
        <w:rPr>
          <w:rFonts w:asciiTheme="majorHAnsi" w:hAnsiTheme="majorHAnsi" w:cstheme="majorHAnsi"/>
        </w:rPr>
        <w:t xml:space="preserve"> </w:t>
      </w:r>
      <w:r w:rsidR="00997E0F" w:rsidRPr="00997E0F">
        <w:rPr>
          <w:rFonts w:asciiTheme="majorHAnsi" w:hAnsiTheme="majorHAnsi" w:cstheme="majorHAnsi"/>
        </w:rPr>
        <w:t>inclusive practices of</w:t>
      </w:r>
      <w:r w:rsidR="00997E0F">
        <w:rPr>
          <w:rFonts w:asciiTheme="majorHAnsi" w:hAnsiTheme="majorHAnsi" w:cstheme="majorHAnsi"/>
        </w:rPr>
        <w:t xml:space="preserve"> </w:t>
      </w:r>
      <w:r w:rsidR="00997E0F" w:rsidRPr="00997E0F">
        <w:rPr>
          <w:rFonts w:asciiTheme="majorHAnsi" w:hAnsiTheme="majorHAnsi" w:cstheme="majorHAnsi"/>
        </w:rPr>
        <w:t>justice and care</w:t>
      </w:r>
      <w:r w:rsidR="00316766" w:rsidRPr="00697D90">
        <w:rPr>
          <w:rFonts w:asciiTheme="majorHAnsi" w:hAnsiTheme="majorHAnsi" w:cstheme="majorHAnsi"/>
        </w:rPr>
        <w:t xml:space="preserve"> (</w:t>
      </w:r>
      <w:r w:rsidR="00F95EC2" w:rsidRPr="00697D90">
        <w:rPr>
          <w:rFonts w:asciiTheme="majorHAnsi" w:hAnsiTheme="majorHAnsi" w:cstheme="majorHAnsi"/>
        </w:rPr>
        <w:t>8</w:t>
      </w:r>
      <w:r w:rsidR="00997E0F">
        <w:rPr>
          <w:rFonts w:asciiTheme="majorHAnsi" w:hAnsiTheme="majorHAnsi" w:cstheme="majorHAnsi"/>
        </w:rPr>
        <w:t>5</w:t>
      </w:r>
      <w:r w:rsidR="00F95EC2" w:rsidRPr="00697D90">
        <w:rPr>
          <w:rFonts w:asciiTheme="majorHAnsi" w:hAnsiTheme="majorHAnsi" w:cstheme="majorHAnsi"/>
        </w:rPr>
        <w:t>%</w:t>
      </w:r>
      <w:r w:rsidR="00316766" w:rsidRPr="00697D90">
        <w:rPr>
          <w:rFonts w:asciiTheme="majorHAnsi" w:hAnsiTheme="majorHAnsi" w:cstheme="majorHAnsi"/>
        </w:rPr>
        <w:t>).</w:t>
      </w:r>
    </w:p>
    <w:p w14:paraId="4A6DB548" w14:textId="77777777" w:rsidR="00F95EC2" w:rsidRPr="00D91978" w:rsidRDefault="00F95EC2" w:rsidP="00F95EC2">
      <w:pPr>
        <w:autoSpaceDE w:val="0"/>
        <w:autoSpaceDN w:val="0"/>
        <w:adjustRightInd w:val="0"/>
        <w:spacing w:after="0" w:line="240" w:lineRule="auto"/>
        <w:rPr>
          <w:rFonts w:asciiTheme="majorHAnsi" w:hAnsiTheme="majorHAnsi" w:cstheme="majorHAnsi"/>
          <w:sz w:val="18"/>
          <w:szCs w:val="18"/>
        </w:rPr>
      </w:pPr>
    </w:p>
    <w:p w14:paraId="7D9947FC" w14:textId="77777777" w:rsidR="009B6A65" w:rsidRPr="00D91978" w:rsidRDefault="009B6A65" w:rsidP="009B6A65">
      <w:p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When asked to respond to the statement “Emmanuel College is a collegial environment for:” and presented with the list of seven stated “</w:t>
      </w:r>
      <w:r w:rsidRPr="00D91978">
        <w:rPr>
          <w:rFonts w:asciiTheme="majorHAnsi" w:hAnsiTheme="majorHAnsi" w:cstheme="majorHAnsi"/>
          <w:b/>
          <w:bCs/>
        </w:rPr>
        <w:t>Values</w:t>
      </w:r>
      <w:r w:rsidRPr="00D91978">
        <w:rPr>
          <w:rFonts w:asciiTheme="majorHAnsi" w:hAnsiTheme="majorHAnsi" w:cstheme="majorHAnsi"/>
        </w:rPr>
        <w:t xml:space="preserve">” from the College’s VMV, a majority of all Basic Degree students surveyed responded either “agree” or “strongly agree.” </w:t>
      </w:r>
    </w:p>
    <w:p w14:paraId="7C6B98C9" w14:textId="77777777" w:rsidR="009B6A65" w:rsidRPr="00D91978" w:rsidRDefault="009B6A65" w:rsidP="009B6A65">
      <w:pPr>
        <w:autoSpaceDE w:val="0"/>
        <w:autoSpaceDN w:val="0"/>
        <w:adjustRightInd w:val="0"/>
        <w:spacing w:after="0" w:line="240" w:lineRule="auto"/>
        <w:rPr>
          <w:rFonts w:asciiTheme="majorHAnsi" w:hAnsiTheme="majorHAnsi" w:cstheme="majorHAnsi"/>
        </w:rPr>
      </w:pPr>
    </w:p>
    <w:p w14:paraId="46D15C2B" w14:textId="51B3A380" w:rsidR="009B6A65" w:rsidRPr="00D91978" w:rsidRDefault="009B6A65" w:rsidP="009B6A65">
      <w:pPr>
        <w:pStyle w:val="ListParagraph"/>
        <w:numPr>
          <w:ilvl w:val="0"/>
          <w:numId w:val="14"/>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inclusive and respectful dialogue (</w:t>
      </w:r>
      <w:r w:rsidR="00997E0F">
        <w:rPr>
          <w:rFonts w:asciiTheme="majorHAnsi" w:hAnsiTheme="majorHAnsi" w:cstheme="majorHAnsi"/>
        </w:rPr>
        <w:t>85</w:t>
      </w:r>
      <w:r w:rsidRPr="00D91978">
        <w:rPr>
          <w:rFonts w:asciiTheme="majorHAnsi" w:hAnsiTheme="majorHAnsi" w:cstheme="majorHAnsi"/>
        </w:rPr>
        <w:t>%)</w:t>
      </w:r>
    </w:p>
    <w:p w14:paraId="68C9AEEB" w14:textId="178892B7" w:rsidR="009B6A65" w:rsidRPr="00D91978" w:rsidRDefault="009B6A65" w:rsidP="009B6A65">
      <w:pPr>
        <w:pStyle w:val="ListParagraph"/>
        <w:numPr>
          <w:ilvl w:val="0"/>
          <w:numId w:val="14"/>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intellectual curiosity (9</w:t>
      </w:r>
      <w:r w:rsidR="00997E0F">
        <w:rPr>
          <w:rFonts w:asciiTheme="majorHAnsi" w:hAnsiTheme="majorHAnsi" w:cstheme="majorHAnsi"/>
        </w:rPr>
        <w:t>2</w:t>
      </w:r>
      <w:r w:rsidRPr="00D91978">
        <w:rPr>
          <w:rFonts w:asciiTheme="majorHAnsi" w:hAnsiTheme="majorHAnsi" w:cstheme="majorHAnsi"/>
        </w:rPr>
        <w:t>%)</w:t>
      </w:r>
    </w:p>
    <w:p w14:paraId="1C484A49" w14:textId="2929F044" w:rsidR="009B6A65" w:rsidRPr="00D91978" w:rsidRDefault="009B6A65" w:rsidP="009B6A65">
      <w:pPr>
        <w:pStyle w:val="ListParagraph"/>
        <w:numPr>
          <w:ilvl w:val="0"/>
          <w:numId w:val="14"/>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academic excellence (9</w:t>
      </w:r>
      <w:r w:rsidR="00997E0F">
        <w:rPr>
          <w:rFonts w:asciiTheme="majorHAnsi" w:hAnsiTheme="majorHAnsi" w:cstheme="majorHAnsi"/>
        </w:rPr>
        <w:t>2</w:t>
      </w:r>
      <w:r w:rsidRPr="00D91978">
        <w:rPr>
          <w:rFonts w:asciiTheme="majorHAnsi" w:hAnsiTheme="majorHAnsi" w:cstheme="majorHAnsi"/>
        </w:rPr>
        <w:t>%)</w:t>
      </w:r>
    </w:p>
    <w:p w14:paraId="1C568EFD" w14:textId="381153F3" w:rsidR="009B6A65" w:rsidRPr="00D91978" w:rsidRDefault="009B6A65" w:rsidP="009B6A65">
      <w:pPr>
        <w:pStyle w:val="ListParagraph"/>
        <w:numPr>
          <w:ilvl w:val="0"/>
          <w:numId w:val="14"/>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public engagement (</w:t>
      </w:r>
      <w:r>
        <w:rPr>
          <w:rFonts w:asciiTheme="majorHAnsi" w:hAnsiTheme="majorHAnsi" w:cstheme="majorHAnsi"/>
        </w:rPr>
        <w:t>7</w:t>
      </w:r>
      <w:r w:rsidR="00E36710">
        <w:rPr>
          <w:rFonts w:asciiTheme="majorHAnsi" w:hAnsiTheme="majorHAnsi" w:cstheme="majorHAnsi"/>
        </w:rPr>
        <w:t>7</w:t>
      </w:r>
      <w:r w:rsidRPr="00D91978">
        <w:rPr>
          <w:rFonts w:asciiTheme="majorHAnsi" w:hAnsiTheme="majorHAnsi" w:cstheme="majorHAnsi"/>
        </w:rPr>
        <w:t>%)</w:t>
      </w:r>
    </w:p>
    <w:p w14:paraId="3FB849CA" w14:textId="4C974258" w:rsidR="009B6A65" w:rsidRPr="00D91978" w:rsidRDefault="009B6A65" w:rsidP="009B6A65">
      <w:pPr>
        <w:pStyle w:val="ListParagraph"/>
        <w:numPr>
          <w:ilvl w:val="0"/>
          <w:numId w:val="14"/>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artistic, music, and liturgical creativity (</w:t>
      </w:r>
      <w:r w:rsidR="00E36710">
        <w:rPr>
          <w:rFonts w:asciiTheme="majorHAnsi" w:hAnsiTheme="majorHAnsi" w:cstheme="majorHAnsi"/>
        </w:rPr>
        <w:t>62</w:t>
      </w:r>
      <w:r w:rsidRPr="00D91978">
        <w:rPr>
          <w:rFonts w:asciiTheme="majorHAnsi" w:hAnsiTheme="majorHAnsi" w:cstheme="majorHAnsi"/>
        </w:rPr>
        <w:t>%)</w:t>
      </w:r>
    </w:p>
    <w:p w14:paraId="1BF3A7F9" w14:textId="0B7BD349" w:rsidR="009B6A65" w:rsidRPr="00D91978" w:rsidRDefault="009B6A65" w:rsidP="009B6A65">
      <w:pPr>
        <w:pStyle w:val="ListParagraph"/>
        <w:numPr>
          <w:ilvl w:val="0"/>
          <w:numId w:val="14"/>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innovation in interfaith learning (</w:t>
      </w:r>
      <w:r w:rsidR="00E36710">
        <w:rPr>
          <w:rFonts w:asciiTheme="majorHAnsi" w:hAnsiTheme="majorHAnsi" w:cstheme="majorHAnsi"/>
        </w:rPr>
        <w:t>77</w:t>
      </w:r>
      <w:r w:rsidRPr="00D91978">
        <w:rPr>
          <w:rFonts w:asciiTheme="majorHAnsi" w:hAnsiTheme="majorHAnsi" w:cstheme="majorHAnsi"/>
        </w:rPr>
        <w:t>%)</w:t>
      </w:r>
    </w:p>
    <w:p w14:paraId="6D7FA9E9" w14:textId="180D499C" w:rsidR="009B6A65" w:rsidRPr="00D91978" w:rsidRDefault="009B6A65" w:rsidP="009B6A65">
      <w:pPr>
        <w:pStyle w:val="ListParagraph"/>
        <w:numPr>
          <w:ilvl w:val="0"/>
          <w:numId w:val="14"/>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the search for justice and right relations (</w:t>
      </w:r>
      <w:r w:rsidR="00E36710">
        <w:rPr>
          <w:rFonts w:asciiTheme="majorHAnsi" w:hAnsiTheme="majorHAnsi" w:cstheme="majorHAnsi"/>
        </w:rPr>
        <w:t>70</w:t>
      </w:r>
      <w:r w:rsidRPr="00D91978">
        <w:rPr>
          <w:rFonts w:asciiTheme="majorHAnsi" w:hAnsiTheme="majorHAnsi" w:cstheme="majorHAnsi"/>
        </w:rPr>
        <w:t>%)</w:t>
      </w:r>
    </w:p>
    <w:p w14:paraId="01F0843A" w14:textId="77777777" w:rsidR="007B5709" w:rsidRPr="002E51C3" w:rsidRDefault="007B5709" w:rsidP="002E51C3"/>
    <w:p w14:paraId="5E96FA54" w14:textId="1096D7B7" w:rsidR="005B0586" w:rsidRPr="00D91978" w:rsidRDefault="00EE4F45" w:rsidP="005B0586">
      <w:pPr>
        <w:autoSpaceDE w:val="0"/>
        <w:autoSpaceDN w:val="0"/>
        <w:adjustRightInd w:val="0"/>
        <w:spacing w:after="0" w:line="240" w:lineRule="auto"/>
        <w:rPr>
          <w:rFonts w:asciiTheme="majorHAnsi" w:hAnsiTheme="majorHAnsi" w:cstheme="majorHAnsi"/>
          <w:b/>
        </w:rPr>
      </w:pPr>
      <w:r>
        <w:rPr>
          <w:rFonts w:asciiTheme="majorHAnsi" w:hAnsiTheme="majorHAnsi" w:cstheme="majorHAnsi"/>
          <w:b/>
        </w:rPr>
        <w:t>1.2</w:t>
      </w:r>
      <w:r w:rsidR="005B0586" w:rsidRPr="00265AA9">
        <w:rPr>
          <w:rFonts w:asciiTheme="majorHAnsi" w:hAnsiTheme="majorHAnsi" w:cstheme="majorHAnsi"/>
          <w:b/>
        </w:rPr>
        <w:t xml:space="preserve"> </w:t>
      </w:r>
      <w:r w:rsidR="00DF4623" w:rsidRPr="00265AA9">
        <w:rPr>
          <w:rFonts w:asciiTheme="majorHAnsi" w:hAnsiTheme="majorHAnsi" w:cstheme="majorHAnsi"/>
          <w:b/>
        </w:rPr>
        <w:t>T</w:t>
      </w:r>
      <w:r w:rsidR="007C2D5F" w:rsidRPr="00265AA9">
        <w:rPr>
          <w:rFonts w:asciiTheme="majorHAnsi" w:hAnsiTheme="majorHAnsi" w:cstheme="majorHAnsi"/>
          <w:b/>
        </w:rPr>
        <w:t xml:space="preserve">he </w:t>
      </w:r>
      <w:r w:rsidR="0009225B">
        <w:rPr>
          <w:rFonts w:asciiTheme="majorHAnsi" w:hAnsiTheme="majorHAnsi" w:cstheme="majorHAnsi"/>
          <w:b/>
        </w:rPr>
        <w:t>Emmanuel Experience</w:t>
      </w:r>
    </w:p>
    <w:p w14:paraId="696AB74A" w14:textId="7BB54A3F" w:rsidR="005A4168" w:rsidRPr="00697D90" w:rsidRDefault="00697D90" w:rsidP="00B67662">
      <w:pPr>
        <w:autoSpaceDE w:val="0"/>
        <w:autoSpaceDN w:val="0"/>
        <w:adjustRightInd w:val="0"/>
        <w:spacing w:after="0" w:line="240" w:lineRule="auto"/>
        <w:rPr>
          <w:rFonts w:asciiTheme="majorHAnsi" w:hAnsiTheme="majorHAnsi" w:cstheme="majorHAnsi"/>
        </w:rPr>
      </w:pPr>
      <w:r>
        <w:rPr>
          <w:rFonts w:asciiTheme="majorHAnsi" w:hAnsiTheme="majorHAnsi" w:cstheme="majorHAnsi"/>
        </w:rPr>
        <w:t>F</w:t>
      </w:r>
      <w:r w:rsidR="005B0586" w:rsidRPr="00D91978">
        <w:rPr>
          <w:rFonts w:asciiTheme="majorHAnsi" w:hAnsiTheme="majorHAnsi" w:cstheme="majorHAnsi"/>
        </w:rPr>
        <w:t>eedback from the 202</w:t>
      </w:r>
      <w:r w:rsidR="00E36710">
        <w:rPr>
          <w:rFonts w:asciiTheme="majorHAnsi" w:hAnsiTheme="majorHAnsi" w:cstheme="majorHAnsi"/>
        </w:rPr>
        <w:t>3</w:t>
      </w:r>
      <w:r w:rsidR="005B0586" w:rsidRPr="00D91978">
        <w:rPr>
          <w:rFonts w:asciiTheme="majorHAnsi" w:hAnsiTheme="majorHAnsi" w:cstheme="majorHAnsi"/>
        </w:rPr>
        <w:t xml:space="preserve"> Emmanuel College Basic Degree </w:t>
      </w:r>
      <w:r w:rsidR="00C96EDE" w:rsidRPr="00D91978">
        <w:rPr>
          <w:rFonts w:asciiTheme="majorHAnsi" w:hAnsiTheme="majorHAnsi" w:cstheme="majorHAnsi"/>
        </w:rPr>
        <w:t>S</w:t>
      </w:r>
      <w:r w:rsidR="005B0586" w:rsidRPr="00D91978">
        <w:rPr>
          <w:rFonts w:asciiTheme="majorHAnsi" w:hAnsiTheme="majorHAnsi" w:cstheme="majorHAnsi"/>
        </w:rPr>
        <w:t xml:space="preserve">urvey </w:t>
      </w:r>
      <w:r w:rsidR="00C96EDE" w:rsidRPr="00D91978">
        <w:rPr>
          <w:rFonts w:asciiTheme="majorHAnsi" w:hAnsiTheme="majorHAnsi" w:cstheme="majorHAnsi"/>
        </w:rPr>
        <w:t xml:space="preserve">demonstrates a high degree of student </w:t>
      </w:r>
      <w:r w:rsidR="00C96EDE" w:rsidRPr="00697D90">
        <w:rPr>
          <w:rFonts w:asciiTheme="majorHAnsi" w:hAnsiTheme="majorHAnsi" w:cstheme="majorHAnsi"/>
        </w:rPr>
        <w:t>satisfaction with the</w:t>
      </w:r>
      <w:r w:rsidR="0009225B" w:rsidRPr="00697D90">
        <w:rPr>
          <w:rFonts w:asciiTheme="majorHAnsi" w:hAnsiTheme="majorHAnsi" w:cstheme="majorHAnsi"/>
        </w:rPr>
        <w:t xml:space="preserve">ir </w:t>
      </w:r>
      <w:r w:rsidRPr="00697D90">
        <w:rPr>
          <w:rFonts w:asciiTheme="majorHAnsi" w:hAnsiTheme="majorHAnsi" w:cstheme="majorHAnsi"/>
        </w:rPr>
        <w:t xml:space="preserve">overall </w:t>
      </w:r>
      <w:r w:rsidR="0009225B" w:rsidRPr="00697D90">
        <w:rPr>
          <w:rFonts w:asciiTheme="majorHAnsi" w:hAnsiTheme="majorHAnsi" w:cstheme="majorHAnsi"/>
        </w:rPr>
        <w:t>experience of the College</w:t>
      </w:r>
      <w:r w:rsidR="007C2D5F" w:rsidRPr="00697D90">
        <w:rPr>
          <w:rFonts w:asciiTheme="majorHAnsi" w:hAnsiTheme="majorHAnsi" w:cstheme="majorHAnsi"/>
        </w:rPr>
        <w:t xml:space="preserve">. </w:t>
      </w:r>
    </w:p>
    <w:p w14:paraId="1B647B95" w14:textId="77777777" w:rsidR="005A4168" w:rsidRPr="00697D90" w:rsidRDefault="005A4168" w:rsidP="00B67662">
      <w:pPr>
        <w:autoSpaceDE w:val="0"/>
        <w:autoSpaceDN w:val="0"/>
        <w:adjustRightInd w:val="0"/>
        <w:spacing w:after="0" w:line="240" w:lineRule="auto"/>
        <w:rPr>
          <w:rFonts w:asciiTheme="majorHAnsi" w:hAnsiTheme="majorHAnsi" w:cstheme="majorHAnsi"/>
        </w:rPr>
      </w:pPr>
    </w:p>
    <w:p w14:paraId="0E62FC1F" w14:textId="03FFFED6" w:rsidR="00E34A60" w:rsidRPr="002E51C3" w:rsidRDefault="005A4168" w:rsidP="002E51C3">
      <w:pPr>
        <w:autoSpaceDE w:val="0"/>
        <w:autoSpaceDN w:val="0"/>
        <w:adjustRightInd w:val="0"/>
        <w:spacing w:after="0" w:line="240" w:lineRule="auto"/>
        <w:rPr>
          <w:rFonts w:asciiTheme="majorHAnsi" w:hAnsiTheme="majorHAnsi" w:cstheme="majorHAnsi"/>
        </w:rPr>
      </w:pPr>
      <w:r w:rsidRPr="00697D90">
        <w:rPr>
          <w:rFonts w:asciiTheme="majorHAnsi" w:hAnsiTheme="majorHAnsi" w:cstheme="majorHAnsi"/>
        </w:rPr>
        <w:t xml:space="preserve">When asked “How satisfied have you been with the following aspects of your experience at Emmanuel?” </w:t>
      </w:r>
      <w:r w:rsidRPr="00697D90">
        <w:rPr>
          <w:rFonts w:asciiTheme="majorHAnsi" w:hAnsiTheme="majorHAnsi" w:cstheme="majorHAnsi"/>
          <w:b/>
          <w:bCs/>
        </w:rPr>
        <w:t>students in all Basic Degree programs</w:t>
      </w:r>
      <w:r w:rsidRPr="00697D90">
        <w:rPr>
          <w:rFonts w:asciiTheme="majorHAnsi" w:hAnsiTheme="majorHAnsi" w:cstheme="majorHAnsi"/>
        </w:rPr>
        <w:t xml:space="preserve"> (</w:t>
      </w:r>
      <w:r w:rsidRPr="00697D90">
        <w:rPr>
          <w:rFonts w:asciiTheme="majorHAnsi" w:hAnsiTheme="majorHAnsi" w:cstheme="majorHAnsi"/>
          <w:bCs/>
        </w:rPr>
        <w:t>MDiv, MPS, MSMus, MTS)</w:t>
      </w:r>
      <w:r w:rsidR="00E36710">
        <w:rPr>
          <w:rFonts w:asciiTheme="majorHAnsi" w:hAnsiTheme="majorHAnsi" w:cstheme="majorHAnsi"/>
          <w:bCs/>
        </w:rPr>
        <w:t xml:space="preserve"> the majority</w:t>
      </w:r>
      <w:r w:rsidRPr="00697D90">
        <w:rPr>
          <w:rFonts w:asciiTheme="majorHAnsi" w:hAnsiTheme="majorHAnsi" w:cstheme="majorHAnsi"/>
          <w:bCs/>
        </w:rPr>
        <w:t xml:space="preserve"> </w:t>
      </w:r>
      <w:r w:rsidR="0009225B" w:rsidRPr="00697D90">
        <w:rPr>
          <w:rFonts w:asciiTheme="majorHAnsi" w:hAnsiTheme="majorHAnsi" w:cstheme="majorHAnsi"/>
          <w:bCs/>
        </w:rPr>
        <w:t xml:space="preserve">expressed </w:t>
      </w:r>
      <w:proofErr w:type="gramStart"/>
      <w:r w:rsidR="0009225B" w:rsidRPr="00697D90">
        <w:rPr>
          <w:rFonts w:asciiTheme="majorHAnsi" w:hAnsiTheme="majorHAnsi" w:cstheme="majorHAnsi"/>
          <w:bCs/>
        </w:rPr>
        <w:t>particular satisfaction</w:t>
      </w:r>
      <w:proofErr w:type="gramEnd"/>
      <w:r w:rsidR="0009225B" w:rsidRPr="00697D90">
        <w:rPr>
          <w:rFonts w:asciiTheme="majorHAnsi" w:hAnsiTheme="majorHAnsi" w:cstheme="majorHAnsi"/>
          <w:bCs/>
        </w:rPr>
        <w:t xml:space="preserve"> with</w:t>
      </w:r>
      <w:r w:rsidR="00BE3320" w:rsidRPr="00697D90">
        <w:rPr>
          <w:rFonts w:asciiTheme="majorHAnsi" w:hAnsiTheme="majorHAnsi" w:cstheme="majorHAnsi"/>
          <w:bCs/>
        </w:rPr>
        <w:t xml:space="preserve"> c</w:t>
      </w:r>
      <w:r w:rsidR="00E34A60" w:rsidRPr="002E51C3">
        <w:rPr>
          <w:rFonts w:asciiTheme="majorHAnsi" w:hAnsiTheme="majorHAnsi" w:cstheme="majorHAnsi"/>
          <w:bCs/>
        </w:rPr>
        <w:t>lass size</w:t>
      </w:r>
      <w:r w:rsidR="00E36710">
        <w:rPr>
          <w:rFonts w:asciiTheme="majorHAnsi" w:hAnsiTheme="majorHAnsi" w:cstheme="majorHAnsi"/>
          <w:bCs/>
        </w:rPr>
        <w:t xml:space="preserve">, Accessibility of faculty, Academic Advising, </w:t>
      </w:r>
      <w:r w:rsidR="00BE3320" w:rsidRPr="00697D90">
        <w:rPr>
          <w:rFonts w:asciiTheme="majorHAnsi" w:hAnsiTheme="majorHAnsi" w:cstheme="majorHAnsi"/>
          <w:bCs/>
        </w:rPr>
        <w:t xml:space="preserve">the </w:t>
      </w:r>
      <w:r w:rsidR="00E04A97">
        <w:rPr>
          <w:rFonts w:asciiTheme="majorHAnsi" w:hAnsiTheme="majorHAnsi" w:cstheme="majorHAnsi"/>
          <w:bCs/>
        </w:rPr>
        <w:t>l</w:t>
      </w:r>
      <w:r w:rsidR="00E34A60" w:rsidRPr="002E51C3">
        <w:rPr>
          <w:rFonts w:asciiTheme="majorHAnsi" w:hAnsiTheme="majorHAnsi" w:cstheme="majorHAnsi"/>
          <w:bCs/>
        </w:rPr>
        <w:t>ibrary collection</w:t>
      </w:r>
      <w:r w:rsidR="00E36710">
        <w:rPr>
          <w:rFonts w:asciiTheme="majorHAnsi" w:hAnsiTheme="majorHAnsi" w:cstheme="majorHAnsi"/>
          <w:bCs/>
        </w:rPr>
        <w:t xml:space="preserve">, </w:t>
      </w:r>
      <w:r w:rsidR="00D64A74" w:rsidRPr="00697D90">
        <w:rPr>
          <w:rFonts w:asciiTheme="majorHAnsi" w:hAnsiTheme="majorHAnsi" w:cstheme="majorHAnsi"/>
          <w:bCs/>
        </w:rPr>
        <w:t>h</w:t>
      </w:r>
      <w:r w:rsidR="00E34A60" w:rsidRPr="002E51C3">
        <w:rPr>
          <w:rFonts w:asciiTheme="majorHAnsi" w:hAnsiTheme="majorHAnsi" w:cstheme="majorHAnsi"/>
          <w:bCs/>
        </w:rPr>
        <w:t xml:space="preserve">elpfulness of administrative/staff support </w:t>
      </w:r>
      <w:r w:rsidR="00D64A74" w:rsidRPr="00697D90">
        <w:rPr>
          <w:rFonts w:asciiTheme="majorHAnsi" w:hAnsiTheme="majorHAnsi" w:cstheme="majorHAnsi"/>
          <w:bCs/>
        </w:rPr>
        <w:t>and</w:t>
      </w:r>
      <w:r w:rsidR="004B25E3" w:rsidRPr="00697D90">
        <w:rPr>
          <w:rFonts w:asciiTheme="majorHAnsi" w:hAnsiTheme="majorHAnsi" w:cstheme="majorHAnsi"/>
          <w:bCs/>
        </w:rPr>
        <w:t xml:space="preserve"> </w:t>
      </w:r>
      <w:r w:rsidR="00E34A60" w:rsidRPr="002E51C3">
        <w:rPr>
          <w:rFonts w:asciiTheme="majorHAnsi" w:hAnsiTheme="majorHAnsi" w:cstheme="majorHAnsi"/>
        </w:rPr>
        <w:t>Admissions</w:t>
      </w:r>
      <w:r w:rsidR="00E36710">
        <w:rPr>
          <w:rFonts w:asciiTheme="majorHAnsi" w:hAnsiTheme="majorHAnsi" w:cstheme="majorHAnsi"/>
        </w:rPr>
        <w:t>.</w:t>
      </w:r>
    </w:p>
    <w:p w14:paraId="4AB8E876" w14:textId="10903791" w:rsidR="00E34A60" w:rsidRPr="00697D90" w:rsidRDefault="00E34A60" w:rsidP="00E34A60">
      <w:pPr>
        <w:autoSpaceDE w:val="0"/>
        <w:autoSpaceDN w:val="0"/>
        <w:adjustRightInd w:val="0"/>
        <w:spacing w:after="0" w:line="240" w:lineRule="auto"/>
        <w:rPr>
          <w:rFonts w:asciiTheme="majorHAnsi" w:hAnsiTheme="majorHAnsi" w:cstheme="majorHAnsi"/>
        </w:rPr>
      </w:pPr>
    </w:p>
    <w:p w14:paraId="1D90FF30" w14:textId="1D1681D3" w:rsidR="00E34A60" w:rsidRPr="00D91978" w:rsidRDefault="006C028F" w:rsidP="00E34A60">
      <w:pPr>
        <w:autoSpaceDE w:val="0"/>
        <w:autoSpaceDN w:val="0"/>
        <w:adjustRightInd w:val="0"/>
        <w:spacing w:after="0" w:line="240" w:lineRule="auto"/>
        <w:rPr>
          <w:rFonts w:asciiTheme="majorHAnsi" w:hAnsiTheme="majorHAnsi" w:cstheme="majorHAnsi"/>
        </w:rPr>
      </w:pPr>
      <w:r w:rsidRPr="00697D90">
        <w:rPr>
          <w:rFonts w:asciiTheme="majorHAnsi" w:hAnsiTheme="majorHAnsi" w:cstheme="majorHAnsi"/>
        </w:rPr>
        <w:t>O</w:t>
      </w:r>
      <w:r w:rsidR="00E34A60" w:rsidRPr="00697D90">
        <w:rPr>
          <w:rFonts w:asciiTheme="majorHAnsi" w:hAnsiTheme="majorHAnsi" w:cstheme="majorHAnsi"/>
        </w:rPr>
        <w:t xml:space="preserve">ver </w:t>
      </w:r>
      <w:r w:rsidR="006E0DE2" w:rsidRPr="00697D90">
        <w:rPr>
          <w:rFonts w:asciiTheme="majorHAnsi" w:hAnsiTheme="majorHAnsi" w:cstheme="majorHAnsi"/>
        </w:rPr>
        <w:t>9</w:t>
      </w:r>
      <w:r w:rsidR="00E34A60" w:rsidRPr="00697D90">
        <w:rPr>
          <w:rFonts w:asciiTheme="majorHAnsi" w:hAnsiTheme="majorHAnsi" w:cstheme="majorHAnsi"/>
        </w:rPr>
        <w:t>0%</w:t>
      </w:r>
      <w:r w:rsidR="004B7147">
        <w:rPr>
          <w:rFonts w:asciiTheme="majorHAnsi" w:hAnsiTheme="majorHAnsi" w:cstheme="majorHAnsi"/>
        </w:rPr>
        <w:t xml:space="preserve"> of students surveyed</w:t>
      </w:r>
      <w:r w:rsidR="00E34A60" w:rsidRPr="00D91978">
        <w:rPr>
          <w:rFonts w:asciiTheme="majorHAnsi" w:hAnsiTheme="majorHAnsi" w:cstheme="majorHAnsi"/>
        </w:rPr>
        <w:t xml:space="preserve"> </w:t>
      </w:r>
      <w:r>
        <w:rPr>
          <w:rFonts w:asciiTheme="majorHAnsi" w:hAnsiTheme="majorHAnsi" w:cstheme="majorHAnsi"/>
        </w:rPr>
        <w:t>cited the following elements of the Emmanuel experience</w:t>
      </w:r>
      <w:r w:rsidR="00BF7DAD">
        <w:rPr>
          <w:rFonts w:asciiTheme="majorHAnsi" w:hAnsiTheme="majorHAnsi" w:cstheme="majorHAnsi"/>
        </w:rPr>
        <w:t xml:space="preserve"> as </w:t>
      </w:r>
      <w:r w:rsidR="00E34A60" w:rsidRPr="00D91978">
        <w:rPr>
          <w:rFonts w:asciiTheme="majorHAnsi" w:hAnsiTheme="majorHAnsi" w:cstheme="majorHAnsi"/>
        </w:rPr>
        <w:t>either “helpful” or “very helpful</w:t>
      </w:r>
      <w:r w:rsidR="004B7147">
        <w:rPr>
          <w:rFonts w:asciiTheme="majorHAnsi" w:hAnsiTheme="majorHAnsi" w:cstheme="majorHAnsi"/>
        </w:rPr>
        <w:t>” to their learning:</w:t>
      </w:r>
    </w:p>
    <w:p w14:paraId="6DB27BC2" w14:textId="77777777" w:rsidR="00E34A60" w:rsidRPr="00D91978" w:rsidRDefault="00E34A60" w:rsidP="00E34A60">
      <w:pPr>
        <w:autoSpaceDE w:val="0"/>
        <w:autoSpaceDN w:val="0"/>
        <w:adjustRightInd w:val="0"/>
        <w:spacing w:after="0" w:line="240" w:lineRule="auto"/>
        <w:rPr>
          <w:rFonts w:asciiTheme="majorHAnsi" w:hAnsiTheme="majorHAnsi" w:cstheme="majorHAnsi"/>
        </w:rPr>
      </w:pPr>
    </w:p>
    <w:p w14:paraId="3769536A" w14:textId="0A169D19" w:rsidR="00E34A60" w:rsidRPr="00D91978" w:rsidRDefault="00E34A60" w:rsidP="00E34A60">
      <w:pPr>
        <w:pStyle w:val="ListParagraph"/>
        <w:numPr>
          <w:ilvl w:val="0"/>
          <w:numId w:val="10"/>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religious diversity (</w:t>
      </w:r>
      <w:r w:rsidR="006E0DE2">
        <w:rPr>
          <w:rFonts w:asciiTheme="majorHAnsi" w:hAnsiTheme="majorHAnsi" w:cstheme="majorHAnsi"/>
        </w:rPr>
        <w:t>9</w:t>
      </w:r>
      <w:r w:rsidR="006F19EA">
        <w:rPr>
          <w:rFonts w:asciiTheme="majorHAnsi" w:hAnsiTheme="majorHAnsi" w:cstheme="majorHAnsi"/>
        </w:rPr>
        <w:t>2</w:t>
      </w:r>
      <w:r w:rsidRPr="00D91978">
        <w:rPr>
          <w:rFonts w:asciiTheme="majorHAnsi" w:hAnsiTheme="majorHAnsi" w:cstheme="majorHAnsi"/>
        </w:rPr>
        <w:t>%)</w:t>
      </w:r>
    </w:p>
    <w:p w14:paraId="5D86569D" w14:textId="04DF28C1" w:rsidR="00E34A60" w:rsidRPr="00D91978" w:rsidRDefault="00E34A60" w:rsidP="00E34A60">
      <w:pPr>
        <w:pStyle w:val="ListParagraph"/>
        <w:numPr>
          <w:ilvl w:val="0"/>
          <w:numId w:val="10"/>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gender balance/diversity (</w:t>
      </w:r>
      <w:r w:rsidR="006E0DE2">
        <w:rPr>
          <w:rFonts w:asciiTheme="majorHAnsi" w:hAnsiTheme="majorHAnsi" w:cstheme="majorHAnsi"/>
        </w:rPr>
        <w:t>9</w:t>
      </w:r>
      <w:r w:rsidRPr="00D91978">
        <w:rPr>
          <w:rFonts w:asciiTheme="majorHAnsi" w:hAnsiTheme="majorHAnsi" w:cstheme="majorHAnsi"/>
        </w:rPr>
        <w:t>0%)</w:t>
      </w:r>
    </w:p>
    <w:p w14:paraId="121AB1D5" w14:textId="601C05F2" w:rsidR="00E34A60" w:rsidRPr="00D91978" w:rsidRDefault="00E34A60" w:rsidP="00E34A60">
      <w:pPr>
        <w:pStyle w:val="ListParagraph"/>
        <w:numPr>
          <w:ilvl w:val="0"/>
          <w:numId w:val="10"/>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openness to diverse sexual identities and orientations (</w:t>
      </w:r>
      <w:r w:rsidR="006F19EA">
        <w:rPr>
          <w:rFonts w:asciiTheme="majorHAnsi" w:hAnsiTheme="majorHAnsi" w:cstheme="majorHAnsi"/>
        </w:rPr>
        <w:t>92</w:t>
      </w:r>
      <w:r w:rsidRPr="00D91978">
        <w:rPr>
          <w:rFonts w:asciiTheme="majorHAnsi" w:hAnsiTheme="majorHAnsi" w:cstheme="majorHAnsi"/>
        </w:rPr>
        <w:t>%)</w:t>
      </w:r>
    </w:p>
    <w:p w14:paraId="54AE7607" w14:textId="77777777" w:rsidR="00E357EF" w:rsidRDefault="00E357EF" w:rsidP="00E357EF">
      <w:pPr>
        <w:autoSpaceDE w:val="0"/>
        <w:autoSpaceDN w:val="0"/>
        <w:adjustRightInd w:val="0"/>
        <w:spacing w:after="0" w:line="240" w:lineRule="auto"/>
        <w:rPr>
          <w:rFonts w:asciiTheme="majorHAnsi" w:hAnsiTheme="majorHAnsi" w:cstheme="majorHAnsi"/>
        </w:rPr>
      </w:pPr>
    </w:p>
    <w:p w14:paraId="5FC1E361" w14:textId="3334AC2E" w:rsidR="00E357EF" w:rsidRPr="00D91978" w:rsidRDefault="002E0FA2" w:rsidP="00E357EF">
      <w:pPr>
        <w:autoSpaceDE w:val="0"/>
        <w:autoSpaceDN w:val="0"/>
        <w:adjustRightInd w:val="0"/>
        <w:spacing w:after="0" w:line="240" w:lineRule="auto"/>
        <w:rPr>
          <w:rFonts w:asciiTheme="majorHAnsi" w:hAnsiTheme="majorHAnsi" w:cstheme="majorHAnsi"/>
        </w:rPr>
      </w:pPr>
      <w:r>
        <w:rPr>
          <w:rFonts w:asciiTheme="majorHAnsi" w:hAnsiTheme="majorHAnsi" w:cstheme="majorHAnsi"/>
        </w:rPr>
        <w:t>Furthermore</w:t>
      </w:r>
      <w:r w:rsidR="00A95E9E">
        <w:rPr>
          <w:rFonts w:asciiTheme="majorHAnsi" w:hAnsiTheme="majorHAnsi" w:cstheme="majorHAnsi"/>
        </w:rPr>
        <w:t>,</w:t>
      </w:r>
      <w:r w:rsidR="00E357EF" w:rsidRPr="00D91978">
        <w:rPr>
          <w:rFonts w:asciiTheme="majorHAnsi" w:hAnsiTheme="majorHAnsi" w:cstheme="majorHAnsi"/>
        </w:rPr>
        <w:t xml:space="preserve"> on </w:t>
      </w:r>
      <w:r w:rsidR="00A95E9E" w:rsidRPr="00D91978">
        <w:rPr>
          <w:rFonts w:asciiTheme="majorHAnsi" w:hAnsiTheme="majorHAnsi" w:cstheme="majorHAnsi"/>
        </w:rPr>
        <w:t>the</w:t>
      </w:r>
      <w:r w:rsidR="00A95E9E">
        <w:rPr>
          <w:rFonts w:asciiTheme="majorHAnsi" w:hAnsiTheme="majorHAnsi" w:cstheme="majorHAnsi"/>
        </w:rPr>
        <w:t xml:space="preserve"> 202</w:t>
      </w:r>
      <w:r w:rsidR="005C5734">
        <w:rPr>
          <w:rFonts w:asciiTheme="majorHAnsi" w:hAnsiTheme="majorHAnsi" w:cstheme="majorHAnsi"/>
        </w:rPr>
        <w:t>2</w:t>
      </w:r>
      <w:r w:rsidR="00A95E9E">
        <w:rPr>
          <w:rFonts w:asciiTheme="majorHAnsi" w:hAnsiTheme="majorHAnsi" w:cstheme="majorHAnsi"/>
        </w:rPr>
        <w:t>-2</w:t>
      </w:r>
      <w:r w:rsidR="005C5734">
        <w:rPr>
          <w:rFonts w:asciiTheme="majorHAnsi" w:hAnsiTheme="majorHAnsi" w:cstheme="majorHAnsi"/>
        </w:rPr>
        <w:t>3</w:t>
      </w:r>
      <w:r w:rsidR="00A95E9E" w:rsidRPr="00D91978">
        <w:rPr>
          <w:rFonts w:asciiTheme="majorHAnsi" w:hAnsiTheme="majorHAnsi" w:cstheme="majorHAnsi"/>
        </w:rPr>
        <w:t xml:space="preserve"> Graduating Student Questionnaire (GSQ), administered by the Association of Theological Schools (ATS)</w:t>
      </w:r>
      <w:r w:rsidR="00E357EF" w:rsidRPr="00D91978">
        <w:rPr>
          <w:rFonts w:asciiTheme="majorHAnsi" w:hAnsiTheme="majorHAnsi" w:cstheme="majorHAnsi"/>
        </w:rPr>
        <w:t>, 20</w:t>
      </w:r>
      <w:r w:rsidR="00E357EF">
        <w:rPr>
          <w:rFonts w:asciiTheme="majorHAnsi" w:hAnsiTheme="majorHAnsi" w:cstheme="majorHAnsi"/>
        </w:rPr>
        <w:t>2</w:t>
      </w:r>
      <w:r w:rsidR="005C5734">
        <w:rPr>
          <w:rFonts w:asciiTheme="majorHAnsi" w:hAnsiTheme="majorHAnsi" w:cstheme="majorHAnsi"/>
        </w:rPr>
        <w:t>3</w:t>
      </w:r>
      <w:r w:rsidR="00E357EF" w:rsidRPr="00D91978">
        <w:rPr>
          <w:rFonts w:asciiTheme="majorHAnsi" w:hAnsiTheme="majorHAnsi" w:cstheme="majorHAnsi"/>
        </w:rPr>
        <w:t xml:space="preserve"> </w:t>
      </w:r>
      <w:r w:rsidR="00E357EF" w:rsidRPr="002E51C3">
        <w:rPr>
          <w:rFonts w:asciiTheme="majorHAnsi" w:hAnsiTheme="majorHAnsi" w:cstheme="majorHAnsi"/>
          <w:b/>
          <w:bCs/>
        </w:rPr>
        <w:t>graduates</w:t>
      </w:r>
      <w:r w:rsidR="00E357EF" w:rsidRPr="00D91978">
        <w:rPr>
          <w:rFonts w:asciiTheme="majorHAnsi" w:hAnsiTheme="majorHAnsi" w:cstheme="majorHAnsi"/>
        </w:rPr>
        <w:t xml:space="preserve"> across all programs rated the Emmanuel College curriculum as “effective” to “very effective” </w:t>
      </w:r>
      <w:r w:rsidR="00A95E9E">
        <w:rPr>
          <w:rFonts w:asciiTheme="majorHAnsi" w:hAnsiTheme="majorHAnsi" w:cstheme="majorHAnsi"/>
        </w:rPr>
        <w:t xml:space="preserve">in fostering </w:t>
      </w:r>
      <w:r w:rsidR="00E357EF" w:rsidRPr="00D91978">
        <w:rPr>
          <w:rFonts w:asciiTheme="majorHAnsi" w:hAnsiTheme="majorHAnsi" w:cstheme="majorHAnsi"/>
        </w:rPr>
        <w:t xml:space="preserve">their personal growth in </w:t>
      </w:r>
      <w:r w:rsidR="00A95E9E">
        <w:rPr>
          <w:rFonts w:asciiTheme="majorHAnsi" w:hAnsiTheme="majorHAnsi" w:cstheme="majorHAnsi"/>
        </w:rPr>
        <w:t>the</w:t>
      </w:r>
      <w:r w:rsidR="00CB7A7F">
        <w:rPr>
          <w:rFonts w:asciiTheme="majorHAnsi" w:hAnsiTheme="majorHAnsi" w:cstheme="majorHAnsi"/>
        </w:rPr>
        <w:t>se</w:t>
      </w:r>
      <w:r w:rsidR="00A95E9E">
        <w:rPr>
          <w:rFonts w:asciiTheme="majorHAnsi" w:hAnsiTheme="majorHAnsi" w:cstheme="majorHAnsi"/>
        </w:rPr>
        <w:t xml:space="preserve"> </w:t>
      </w:r>
      <w:r w:rsidR="00E357EF" w:rsidRPr="00D91978">
        <w:rPr>
          <w:rFonts w:asciiTheme="majorHAnsi" w:hAnsiTheme="majorHAnsi" w:cstheme="majorHAnsi"/>
        </w:rPr>
        <w:t>areas</w:t>
      </w:r>
      <w:r w:rsidR="00CB7A7F">
        <w:rPr>
          <w:rFonts w:asciiTheme="majorHAnsi" w:hAnsiTheme="majorHAnsi" w:cstheme="majorHAnsi"/>
        </w:rPr>
        <w:t xml:space="preserve"> </w:t>
      </w:r>
      <w:r w:rsidR="00E357EF" w:rsidRPr="00D91978">
        <w:rPr>
          <w:rFonts w:asciiTheme="majorHAnsi" w:hAnsiTheme="majorHAnsi" w:cstheme="majorHAnsi"/>
        </w:rPr>
        <w:t xml:space="preserve">(GSQ #14): </w:t>
      </w:r>
    </w:p>
    <w:p w14:paraId="2C3CDC1A" w14:textId="77777777" w:rsidR="00E357EF" w:rsidRPr="00D91978" w:rsidRDefault="00E357EF" w:rsidP="00E357EF">
      <w:pPr>
        <w:autoSpaceDE w:val="0"/>
        <w:autoSpaceDN w:val="0"/>
        <w:adjustRightInd w:val="0"/>
        <w:spacing w:after="0" w:line="240" w:lineRule="auto"/>
        <w:rPr>
          <w:rFonts w:asciiTheme="majorHAnsi" w:hAnsiTheme="majorHAnsi" w:cstheme="majorHAnsi"/>
        </w:rPr>
      </w:pPr>
    </w:p>
    <w:p w14:paraId="35D49F72" w14:textId="77777777" w:rsidR="00E357EF" w:rsidRPr="00D91978" w:rsidRDefault="00E357EF" w:rsidP="00E357EF">
      <w:pPr>
        <w:pStyle w:val="ListParagraph"/>
        <w:numPr>
          <w:ilvl w:val="0"/>
          <w:numId w:val="1"/>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empathy for the poor and oppressed</w:t>
      </w:r>
    </w:p>
    <w:p w14:paraId="38F5B5A0" w14:textId="77777777" w:rsidR="00E357EF" w:rsidRPr="00D91978" w:rsidRDefault="00E357EF" w:rsidP="00E357EF">
      <w:pPr>
        <w:pStyle w:val="ListParagraph"/>
        <w:numPr>
          <w:ilvl w:val="0"/>
          <w:numId w:val="1"/>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concern about social justice</w:t>
      </w:r>
    </w:p>
    <w:p w14:paraId="45459377" w14:textId="77777777" w:rsidR="00E357EF" w:rsidRPr="00D91978" w:rsidRDefault="00E357EF" w:rsidP="00E357EF">
      <w:pPr>
        <w:pStyle w:val="ListParagraph"/>
        <w:numPr>
          <w:ilvl w:val="0"/>
          <w:numId w:val="1"/>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enthusiasm for learning</w:t>
      </w:r>
    </w:p>
    <w:p w14:paraId="19371BFE" w14:textId="77777777" w:rsidR="00E357EF" w:rsidRDefault="00E357EF" w:rsidP="00E357EF">
      <w:pPr>
        <w:pStyle w:val="ListParagraph"/>
        <w:numPr>
          <w:ilvl w:val="0"/>
          <w:numId w:val="1"/>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respect for other religious traditions</w:t>
      </w:r>
    </w:p>
    <w:p w14:paraId="1E35A0C0" w14:textId="10441CA4" w:rsidR="005C5734" w:rsidRDefault="005C5734" w:rsidP="00E357EF">
      <w:pPr>
        <w:pStyle w:val="ListParagraph"/>
        <w:numPr>
          <w:ilvl w:val="0"/>
          <w:numId w:val="1"/>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 xml:space="preserve">respect for my own religious tradition </w:t>
      </w:r>
    </w:p>
    <w:p w14:paraId="75858C82" w14:textId="6C998BD2" w:rsidR="005C5734" w:rsidRDefault="005C5734" w:rsidP="00E357EF">
      <w:pPr>
        <w:pStyle w:val="ListParagraph"/>
        <w:numPr>
          <w:ilvl w:val="0"/>
          <w:numId w:val="1"/>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clarity of vocational goals</w:t>
      </w:r>
    </w:p>
    <w:p w14:paraId="5A9ECA63" w14:textId="7CCBC13C" w:rsidR="005C5734" w:rsidRPr="00D91978" w:rsidRDefault="005C5734" w:rsidP="00E357EF">
      <w:pPr>
        <w:pStyle w:val="ListParagraph"/>
        <w:numPr>
          <w:ilvl w:val="0"/>
          <w:numId w:val="1"/>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self-confidence</w:t>
      </w:r>
    </w:p>
    <w:p w14:paraId="723997FE" w14:textId="77777777" w:rsidR="00E357EF" w:rsidRPr="00D91978" w:rsidRDefault="00E357EF" w:rsidP="00E357EF">
      <w:pPr>
        <w:pStyle w:val="ListParagraph"/>
        <w:numPr>
          <w:ilvl w:val="0"/>
          <w:numId w:val="1"/>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self-knowledge</w:t>
      </w:r>
    </w:p>
    <w:p w14:paraId="28DEFD2C" w14:textId="77777777" w:rsidR="00E357EF" w:rsidRPr="002E51C3" w:rsidRDefault="00E357EF" w:rsidP="002E51C3">
      <w:pPr>
        <w:autoSpaceDE w:val="0"/>
        <w:autoSpaceDN w:val="0"/>
        <w:adjustRightInd w:val="0"/>
        <w:spacing w:after="0" w:line="240" w:lineRule="auto"/>
        <w:jc w:val="both"/>
        <w:rPr>
          <w:rFonts w:asciiTheme="majorHAnsi" w:hAnsiTheme="majorHAnsi" w:cstheme="majorHAnsi"/>
        </w:rPr>
      </w:pPr>
    </w:p>
    <w:p w14:paraId="2CBD88D6" w14:textId="52943FE2" w:rsidR="00E34A60" w:rsidRPr="00D91978" w:rsidRDefault="00E34A60" w:rsidP="00E34A60">
      <w:pPr>
        <w:autoSpaceDE w:val="0"/>
        <w:autoSpaceDN w:val="0"/>
        <w:adjustRightInd w:val="0"/>
        <w:spacing w:after="0" w:line="240" w:lineRule="auto"/>
        <w:rPr>
          <w:rFonts w:asciiTheme="majorHAnsi" w:hAnsiTheme="majorHAnsi" w:cstheme="majorHAnsi"/>
        </w:rPr>
      </w:pPr>
    </w:p>
    <w:p w14:paraId="0871EF65" w14:textId="5EFD93A7" w:rsidR="00F95EC2" w:rsidRPr="002E51C3" w:rsidRDefault="00F95EC2" w:rsidP="00F95EC2">
      <w:pPr>
        <w:autoSpaceDE w:val="0"/>
        <w:autoSpaceDN w:val="0"/>
        <w:adjustRightInd w:val="0"/>
        <w:spacing w:after="0" w:line="240" w:lineRule="auto"/>
        <w:jc w:val="center"/>
        <w:rPr>
          <w:rFonts w:asciiTheme="majorHAnsi" w:hAnsiTheme="majorHAnsi" w:cstheme="majorHAnsi"/>
          <w:b/>
          <w:bCs/>
        </w:rPr>
      </w:pPr>
      <w:r w:rsidRPr="002E51C3">
        <w:rPr>
          <w:rFonts w:asciiTheme="majorHAnsi" w:hAnsiTheme="majorHAnsi" w:cstheme="majorHAnsi"/>
          <w:b/>
          <w:bCs/>
        </w:rPr>
        <w:t>2. EDUCATIONAL EFFECTIVENESS</w:t>
      </w:r>
    </w:p>
    <w:p w14:paraId="6798D5BB" w14:textId="77777777" w:rsidR="00F95EC2" w:rsidRDefault="00F95EC2" w:rsidP="002E51C3">
      <w:pPr>
        <w:autoSpaceDE w:val="0"/>
        <w:autoSpaceDN w:val="0"/>
        <w:adjustRightInd w:val="0"/>
        <w:spacing w:after="0" w:line="240" w:lineRule="auto"/>
        <w:jc w:val="center"/>
        <w:rPr>
          <w:rFonts w:asciiTheme="majorHAnsi" w:hAnsiTheme="majorHAnsi" w:cstheme="majorHAnsi"/>
          <w:b/>
        </w:rPr>
      </w:pPr>
    </w:p>
    <w:p w14:paraId="15F9A307" w14:textId="01F88583" w:rsidR="00F95EC2" w:rsidRPr="00113E43" w:rsidRDefault="00E17775" w:rsidP="00F95EC2">
      <w:pPr>
        <w:autoSpaceDE w:val="0"/>
        <w:autoSpaceDN w:val="0"/>
        <w:adjustRightInd w:val="0"/>
        <w:spacing w:after="0" w:line="240" w:lineRule="auto"/>
        <w:rPr>
          <w:rFonts w:asciiTheme="majorHAnsi" w:hAnsiTheme="majorHAnsi" w:cstheme="majorHAnsi"/>
          <w:b/>
        </w:rPr>
      </w:pPr>
      <w:r>
        <w:rPr>
          <w:rFonts w:asciiTheme="majorHAnsi" w:hAnsiTheme="majorHAnsi" w:cstheme="majorHAnsi"/>
          <w:b/>
        </w:rPr>
        <w:t>2.1</w:t>
      </w:r>
      <w:r w:rsidR="00F95EC2" w:rsidRPr="00113E43">
        <w:rPr>
          <w:rFonts w:asciiTheme="majorHAnsi" w:hAnsiTheme="majorHAnsi" w:cstheme="majorHAnsi"/>
          <w:b/>
        </w:rPr>
        <w:t xml:space="preserve"> </w:t>
      </w:r>
      <w:r w:rsidR="00D11AD5">
        <w:rPr>
          <w:rFonts w:asciiTheme="majorHAnsi" w:hAnsiTheme="majorHAnsi" w:cstheme="majorHAnsi"/>
          <w:b/>
        </w:rPr>
        <w:t xml:space="preserve">Emmanuel College </w:t>
      </w:r>
      <w:r>
        <w:rPr>
          <w:rFonts w:asciiTheme="majorHAnsi" w:hAnsiTheme="majorHAnsi" w:cstheme="majorHAnsi"/>
          <w:b/>
        </w:rPr>
        <w:t>Program Outcomes</w:t>
      </w:r>
      <w:r w:rsidR="00F95EC2" w:rsidRPr="00113E43">
        <w:rPr>
          <w:rFonts w:asciiTheme="majorHAnsi" w:hAnsiTheme="majorHAnsi" w:cstheme="majorHAnsi"/>
          <w:b/>
        </w:rPr>
        <w:t xml:space="preserve"> </w:t>
      </w:r>
    </w:p>
    <w:p w14:paraId="77CE47D3" w14:textId="2DC05BB5" w:rsidR="00353A64" w:rsidRPr="002E51C3" w:rsidRDefault="00F95EC2" w:rsidP="00F95EC2">
      <w:pPr>
        <w:autoSpaceDE w:val="0"/>
        <w:autoSpaceDN w:val="0"/>
        <w:adjustRightInd w:val="0"/>
        <w:spacing w:after="0" w:line="240" w:lineRule="auto"/>
        <w:rPr>
          <w:rFonts w:asciiTheme="majorHAnsi" w:hAnsiTheme="majorHAnsi" w:cstheme="majorHAnsi"/>
          <w:bCs/>
        </w:rPr>
      </w:pPr>
      <w:r w:rsidRPr="00E92753">
        <w:rPr>
          <w:rFonts w:asciiTheme="majorHAnsi" w:hAnsiTheme="majorHAnsi" w:cstheme="majorHAnsi"/>
          <w:bCs/>
        </w:rPr>
        <w:t xml:space="preserve">Students in Emmanuel College programs </w:t>
      </w:r>
      <w:r w:rsidR="00A6359A">
        <w:rPr>
          <w:rFonts w:asciiTheme="majorHAnsi" w:hAnsiTheme="majorHAnsi" w:cstheme="majorHAnsi"/>
          <w:bCs/>
        </w:rPr>
        <w:t>demonstrated</w:t>
      </w:r>
      <w:r w:rsidRPr="00E92753">
        <w:rPr>
          <w:rFonts w:asciiTheme="majorHAnsi" w:hAnsiTheme="majorHAnsi" w:cstheme="majorHAnsi"/>
          <w:bCs/>
        </w:rPr>
        <w:t xml:space="preserve"> proficiency in key subject areas in each Basic Degree program. Data from the </w:t>
      </w:r>
      <w:r w:rsidR="00316CAB">
        <w:rPr>
          <w:rFonts w:asciiTheme="majorHAnsi" w:hAnsiTheme="majorHAnsi" w:cstheme="majorHAnsi"/>
          <w:bCs/>
        </w:rPr>
        <w:t>2022-23</w:t>
      </w:r>
      <w:r w:rsidRPr="00E92753">
        <w:rPr>
          <w:rFonts w:asciiTheme="majorHAnsi" w:hAnsiTheme="majorHAnsi" w:cstheme="majorHAnsi"/>
          <w:bCs/>
        </w:rPr>
        <w:t xml:space="preserve"> Academic Program Evaluation Reports (APER</w:t>
      </w:r>
      <w:r w:rsidR="00353A64" w:rsidRPr="002E51C3">
        <w:rPr>
          <w:rFonts w:asciiTheme="majorHAnsi" w:hAnsiTheme="majorHAnsi" w:cstheme="majorHAnsi"/>
          <w:bCs/>
        </w:rPr>
        <w:t>s</w:t>
      </w:r>
      <w:r w:rsidRPr="00E92753">
        <w:rPr>
          <w:rFonts w:asciiTheme="majorHAnsi" w:hAnsiTheme="majorHAnsi" w:cstheme="majorHAnsi"/>
          <w:bCs/>
        </w:rPr>
        <w:t xml:space="preserve">) entailed </w:t>
      </w:r>
      <w:r w:rsidR="00353A64" w:rsidRPr="002E51C3">
        <w:rPr>
          <w:rFonts w:asciiTheme="majorHAnsi" w:hAnsiTheme="majorHAnsi" w:cstheme="majorHAnsi"/>
          <w:bCs/>
        </w:rPr>
        <w:t xml:space="preserve">direct </w:t>
      </w:r>
      <w:r w:rsidRPr="00E92753">
        <w:rPr>
          <w:rFonts w:asciiTheme="majorHAnsi" w:hAnsiTheme="majorHAnsi" w:cstheme="majorHAnsi"/>
          <w:bCs/>
        </w:rPr>
        <w:t xml:space="preserve">evaluation of </w:t>
      </w:r>
      <w:r w:rsidR="00316CAB">
        <w:rPr>
          <w:rFonts w:asciiTheme="majorHAnsi" w:hAnsiTheme="majorHAnsi" w:cstheme="majorHAnsi"/>
          <w:bCs/>
        </w:rPr>
        <w:t>MPS program</w:t>
      </w:r>
      <w:r w:rsidRPr="00E92753">
        <w:rPr>
          <w:rFonts w:asciiTheme="majorHAnsi" w:hAnsiTheme="majorHAnsi" w:cstheme="majorHAnsi"/>
          <w:bCs/>
        </w:rPr>
        <w:t xml:space="preserve"> learning outcomes</w:t>
      </w:r>
      <w:r w:rsidR="00353A64" w:rsidRPr="002E51C3">
        <w:rPr>
          <w:rFonts w:asciiTheme="majorHAnsi" w:hAnsiTheme="majorHAnsi" w:cstheme="majorHAnsi"/>
          <w:bCs/>
        </w:rPr>
        <w:t xml:space="preserve"> through student portfolios</w:t>
      </w:r>
      <w:r w:rsidRPr="00E92753">
        <w:rPr>
          <w:rFonts w:asciiTheme="majorHAnsi" w:hAnsiTheme="majorHAnsi" w:cstheme="majorHAnsi"/>
          <w:bCs/>
        </w:rPr>
        <w:t xml:space="preserve"> (e.g., integration papers, theses, and other student artifacts). </w:t>
      </w:r>
      <w:r w:rsidR="00316CAB">
        <w:rPr>
          <w:rFonts w:asciiTheme="majorHAnsi" w:hAnsiTheme="majorHAnsi" w:cstheme="majorHAnsi"/>
          <w:bCs/>
        </w:rPr>
        <w:t>Data from the MDiv, MSMus &amp; MTS is from 21-22 due to a limited number of graduates</w:t>
      </w:r>
      <w:r w:rsidR="007F3521">
        <w:rPr>
          <w:rFonts w:asciiTheme="majorHAnsi" w:hAnsiTheme="majorHAnsi" w:cstheme="majorHAnsi"/>
          <w:bCs/>
        </w:rPr>
        <w:t xml:space="preserve"> in 2023</w:t>
      </w:r>
      <w:r w:rsidR="00316CAB">
        <w:rPr>
          <w:rFonts w:asciiTheme="majorHAnsi" w:hAnsiTheme="majorHAnsi" w:cstheme="majorHAnsi"/>
          <w:bCs/>
        </w:rPr>
        <w:t>.</w:t>
      </w:r>
    </w:p>
    <w:p w14:paraId="40280D73" w14:textId="77777777" w:rsidR="00581DB3" w:rsidRDefault="00581DB3" w:rsidP="00F95EC2">
      <w:pPr>
        <w:autoSpaceDE w:val="0"/>
        <w:autoSpaceDN w:val="0"/>
        <w:adjustRightInd w:val="0"/>
        <w:spacing w:after="0" w:line="240" w:lineRule="auto"/>
        <w:rPr>
          <w:rFonts w:asciiTheme="majorHAnsi" w:hAnsiTheme="majorHAnsi" w:cstheme="majorHAnsi"/>
          <w:bCs/>
          <w:highlight w:val="yellow"/>
        </w:rPr>
      </w:pPr>
    </w:p>
    <w:p w14:paraId="206626C8" w14:textId="33F5D98B" w:rsidR="00581DB3" w:rsidRPr="002E51C3" w:rsidRDefault="00E40818" w:rsidP="002E51C3">
      <w:pPr>
        <w:autoSpaceDE w:val="0"/>
        <w:autoSpaceDN w:val="0"/>
        <w:adjustRightInd w:val="0"/>
        <w:spacing w:after="0" w:line="240" w:lineRule="auto"/>
        <w:jc w:val="center"/>
        <w:rPr>
          <w:rFonts w:asciiTheme="majorHAnsi" w:hAnsiTheme="majorHAnsi" w:cstheme="majorHAnsi"/>
          <w:bCs/>
          <w:highlight w:val="yellow"/>
        </w:rPr>
      </w:pPr>
      <w:r>
        <w:rPr>
          <w:rFonts w:asciiTheme="majorHAnsi" w:hAnsiTheme="majorHAnsi" w:cstheme="majorHAnsi"/>
          <w:bCs/>
          <w:noProof/>
        </w:rPr>
        <w:drawing>
          <wp:inline distT="0" distB="0" distL="0" distR="0" wp14:anchorId="79A78881" wp14:editId="60C33392">
            <wp:extent cx="4382087" cy="241964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904EB1" w14:textId="746C5B6A" w:rsidR="00F95EC2" w:rsidRDefault="00B9716D" w:rsidP="002E51C3">
      <w:pPr>
        <w:autoSpaceDE w:val="0"/>
        <w:autoSpaceDN w:val="0"/>
        <w:adjustRightInd w:val="0"/>
        <w:spacing w:after="0" w:line="240" w:lineRule="auto"/>
        <w:jc w:val="center"/>
        <w:rPr>
          <w:rFonts w:asciiTheme="majorHAnsi" w:hAnsiTheme="majorHAnsi" w:cstheme="majorHAnsi"/>
          <w:bCs/>
        </w:rPr>
      </w:pPr>
      <w:r>
        <w:rPr>
          <w:rFonts w:asciiTheme="majorHAnsi" w:hAnsiTheme="majorHAnsi" w:cstheme="majorHAnsi"/>
          <w:bCs/>
        </w:rPr>
        <w:t xml:space="preserve">Key: 3 = Superior, </w:t>
      </w:r>
      <w:r w:rsidRPr="002E51C3">
        <w:rPr>
          <w:rFonts w:asciiTheme="majorHAnsi" w:hAnsiTheme="majorHAnsi" w:cstheme="majorHAnsi"/>
          <w:b/>
        </w:rPr>
        <w:t>2 = Proficient</w:t>
      </w:r>
      <w:r>
        <w:rPr>
          <w:rFonts w:asciiTheme="majorHAnsi" w:hAnsiTheme="majorHAnsi" w:cstheme="majorHAnsi"/>
          <w:bCs/>
        </w:rPr>
        <w:t>, 1 = Inadequate</w:t>
      </w:r>
    </w:p>
    <w:p w14:paraId="03A85567" w14:textId="77777777" w:rsidR="00B9716D" w:rsidRPr="00B41C63" w:rsidRDefault="00B9716D" w:rsidP="00F95EC2">
      <w:pPr>
        <w:autoSpaceDE w:val="0"/>
        <w:autoSpaceDN w:val="0"/>
        <w:adjustRightInd w:val="0"/>
        <w:spacing w:after="0" w:line="240" w:lineRule="auto"/>
        <w:rPr>
          <w:rFonts w:asciiTheme="majorHAnsi" w:hAnsiTheme="majorHAnsi" w:cstheme="majorHAnsi"/>
          <w:b/>
        </w:rPr>
      </w:pPr>
    </w:p>
    <w:p w14:paraId="6774BAD7" w14:textId="265889FB" w:rsidR="00F95EC2" w:rsidRPr="00B41C63" w:rsidRDefault="00F45AFE" w:rsidP="00E34A60">
      <w:pPr>
        <w:autoSpaceDE w:val="0"/>
        <w:autoSpaceDN w:val="0"/>
        <w:adjustRightInd w:val="0"/>
        <w:spacing w:after="0" w:line="240" w:lineRule="auto"/>
        <w:rPr>
          <w:rFonts w:asciiTheme="majorHAnsi" w:hAnsiTheme="majorHAnsi" w:cstheme="majorHAnsi"/>
        </w:rPr>
      </w:pPr>
      <w:r w:rsidRPr="00B41C63">
        <w:rPr>
          <w:rFonts w:asciiTheme="majorHAnsi" w:hAnsiTheme="majorHAnsi" w:cstheme="majorHAnsi"/>
        </w:rPr>
        <w:t>Student responses to the</w:t>
      </w:r>
      <w:r w:rsidR="002B4A58" w:rsidRPr="00B41C63">
        <w:rPr>
          <w:rFonts w:asciiTheme="majorHAnsi" w:hAnsiTheme="majorHAnsi" w:cstheme="majorHAnsi"/>
        </w:rPr>
        <w:t xml:space="preserve"> 202</w:t>
      </w:r>
      <w:r w:rsidR="006A3B83">
        <w:rPr>
          <w:rFonts w:asciiTheme="majorHAnsi" w:hAnsiTheme="majorHAnsi" w:cstheme="majorHAnsi"/>
        </w:rPr>
        <w:t>3</w:t>
      </w:r>
      <w:r w:rsidR="002B4A58" w:rsidRPr="00B41C63">
        <w:rPr>
          <w:rFonts w:asciiTheme="majorHAnsi" w:hAnsiTheme="majorHAnsi" w:cstheme="majorHAnsi"/>
        </w:rPr>
        <w:t xml:space="preserve"> Emmanuel College Basic Degree Survey </w:t>
      </w:r>
      <w:r w:rsidRPr="00B41C63">
        <w:rPr>
          <w:rFonts w:asciiTheme="majorHAnsi" w:hAnsiTheme="majorHAnsi" w:cstheme="majorHAnsi"/>
        </w:rPr>
        <w:t>demonstrate t</w:t>
      </w:r>
      <w:r w:rsidR="00AE05FB" w:rsidRPr="00B41C63">
        <w:rPr>
          <w:rFonts w:asciiTheme="majorHAnsi" w:hAnsiTheme="majorHAnsi" w:cstheme="majorHAnsi"/>
        </w:rPr>
        <w:t xml:space="preserve">he </w:t>
      </w:r>
      <w:r w:rsidR="00AE05FB" w:rsidRPr="002E51C3">
        <w:rPr>
          <w:rFonts w:asciiTheme="majorHAnsi" w:hAnsiTheme="majorHAnsi" w:cstheme="majorHAnsi"/>
          <w:b/>
          <w:bCs/>
        </w:rPr>
        <w:t>distinctive strengths</w:t>
      </w:r>
      <w:r w:rsidR="00AE05FB" w:rsidRPr="00B41C63">
        <w:rPr>
          <w:rFonts w:asciiTheme="majorHAnsi" w:hAnsiTheme="majorHAnsi" w:cstheme="majorHAnsi"/>
        </w:rPr>
        <w:t xml:space="preserve"> of </w:t>
      </w:r>
      <w:r w:rsidRPr="00B41C63">
        <w:rPr>
          <w:rFonts w:asciiTheme="majorHAnsi" w:hAnsiTheme="majorHAnsi" w:cstheme="majorHAnsi"/>
        </w:rPr>
        <w:t>each of the College’s academic programs</w:t>
      </w:r>
      <w:r w:rsidR="00AE05FB" w:rsidRPr="00B41C63">
        <w:rPr>
          <w:rFonts w:asciiTheme="majorHAnsi" w:hAnsiTheme="majorHAnsi" w:cstheme="majorHAnsi"/>
        </w:rPr>
        <w:t>.</w:t>
      </w:r>
    </w:p>
    <w:p w14:paraId="70D22F72" w14:textId="77777777" w:rsidR="00AE05FB" w:rsidRPr="00B41C63" w:rsidRDefault="00AE05FB" w:rsidP="00E34A60">
      <w:pPr>
        <w:autoSpaceDE w:val="0"/>
        <w:autoSpaceDN w:val="0"/>
        <w:adjustRightInd w:val="0"/>
        <w:spacing w:after="0" w:line="240" w:lineRule="auto"/>
        <w:rPr>
          <w:rFonts w:asciiTheme="majorHAnsi" w:hAnsiTheme="majorHAnsi" w:cstheme="majorHAnsi"/>
        </w:rPr>
      </w:pPr>
    </w:p>
    <w:p w14:paraId="3A4F5874" w14:textId="01E7CB83" w:rsidR="002071E4" w:rsidRPr="006A3B83" w:rsidRDefault="00A743B7" w:rsidP="006A3B83">
      <w:pPr>
        <w:pStyle w:val="ListParagraph"/>
        <w:numPr>
          <w:ilvl w:val="0"/>
          <w:numId w:val="18"/>
        </w:numPr>
        <w:rPr>
          <w:rFonts w:asciiTheme="majorHAnsi" w:hAnsiTheme="majorHAnsi" w:cstheme="majorHAnsi"/>
        </w:rPr>
      </w:pPr>
      <w:r w:rsidRPr="00B41C63">
        <w:rPr>
          <w:rFonts w:asciiTheme="majorHAnsi" w:hAnsiTheme="majorHAnsi" w:cstheme="majorHAnsi"/>
          <w:b/>
          <w:bCs/>
        </w:rPr>
        <w:t>Master of Divinity</w:t>
      </w:r>
      <w:r w:rsidR="002071E4" w:rsidRPr="00B41C63">
        <w:rPr>
          <w:rFonts w:asciiTheme="majorHAnsi" w:hAnsiTheme="majorHAnsi" w:cstheme="majorHAnsi"/>
        </w:rPr>
        <w:t xml:space="preserve">: </w:t>
      </w:r>
      <w:r w:rsidR="006A3B83">
        <w:rPr>
          <w:rFonts w:asciiTheme="majorHAnsi" w:hAnsiTheme="majorHAnsi" w:cstheme="majorHAnsi"/>
        </w:rPr>
        <w:t>100%</w:t>
      </w:r>
      <w:r w:rsidR="007010A6" w:rsidRPr="002E51C3">
        <w:rPr>
          <w:rFonts w:asciiTheme="majorHAnsi" w:hAnsiTheme="majorHAnsi" w:cstheme="majorHAnsi"/>
        </w:rPr>
        <w:t xml:space="preserve"> </w:t>
      </w:r>
      <w:r w:rsidR="00C93A6F" w:rsidRPr="002E51C3">
        <w:rPr>
          <w:rFonts w:asciiTheme="majorHAnsi" w:hAnsiTheme="majorHAnsi" w:cstheme="majorHAnsi"/>
        </w:rPr>
        <w:t xml:space="preserve">of </w:t>
      </w:r>
      <w:r w:rsidR="006A3B83">
        <w:rPr>
          <w:rFonts w:asciiTheme="majorHAnsi" w:hAnsiTheme="majorHAnsi" w:cstheme="majorHAnsi"/>
        </w:rPr>
        <w:t xml:space="preserve">the </w:t>
      </w:r>
      <w:r w:rsidR="00CE7CAF">
        <w:rPr>
          <w:rFonts w:asciiTheme="majorHAnsi" w:hAnsiTheme="majorHAnsi" w:cstheme="majorHAnsi"/>
        </w:rPr>
        <w:t>M</w:t>
      </w:r>
      <w:r w:rsidR="007010A6" w:rsidRPr="002E51C3">
        <w:rPr>
          <w:rFonts w:asciiTheme="majorHAnsi" w:hAnsiTheme="majorHAnsi" w:cstheme="majorHAnsi"/>
        </w:rPr>
        <w:t xml:space="preserve">Div </w:t>
      </w:r>
      <w:r w:rsidR="00553B30">
        <w:rPr>
          <w:rFonts w:asciiTheme="majorHAnsi" w:hAnsiTheme="majorHAnsi" w:cstheme="majorHAnsi"/>
        </w:rPr>
        <w:t>respondents</w:t>
      </w:r>
      <w:r w:rsidR="007010A6" w:rsidRPr="002E51C3">
        <w:rPr>
          <w:rFonts w:asciiTheme="majorHAnsi" w:hAnsiTheme="majorHAnsi" w:cstheme="majorHAnsi"/>
        </w:rPr>
        <w:t xml:space="preserve"> </w:t>
      </w:r>
      <w:r w:rsidR="00552165" w:rsidRPr="002E51C3">
        <w:rPr>
          <w:rFonts w:asciiTheme="majorHAnsi" w:hAnsiTheme="majorHAnsi" w:cstheme="majorHAnsi"/>
        </w:rPr>
        <w:t>highlighted</w:t>
      </w:r>
      <w:r w:rsidR="002071E4" w:rsidRPr="00B41C63">
        <w:rPr>
          <w:rFonts w:asciiTheme="majorHAnsi" w:hAnsiTheme="majorHAnsi" w:cstheme="majorHAnsi"/>
        </w:rPr>
        <w:t xml:space="preserve"> </w:t>
      </w:r>
      <w:r w:rsidR="006A3B83">
        <w:rPr>
          <w:rFonts w:asciiTheme="majorHAnsi" w:hAnsiTheme="majorHAnsi" w:cstheme="majorHAnsi"/>
        </w:rPr>
        <w:t>k</w:t>
      </w:r>
      <w:r w:rsidR="006A3B83" w:rsidRPr="006A3B83">
        <w:rPr>
          <w:rFonts w:asciiTheme="majorHAnsi" w:hAnsiTheme="majorHAnsi" w:cstheme="majorHAnsi"/>
        </w:rPr>
        <w:t>nowledge of Christian scripture,</w:t>
      </w:r>
      <w:r w:rsidR="006A3B83">
        <w:rPr>
          <w:rFonts w:asciiTheme="majorHAnsi" w:hAnsiTheme="majorHAnsi" w:cstheme="majorHAnsi"/>
        </w:rPr>
        <w:t xml:space="preserve"> </w:t>
      </w:r>
      <w:r w:rsidR="006A3B83" w:rsidRPr="006A3B83">
        <w:rPr>
          <w:rFonts w:asciiTheme="majorHAnsi" w:hAnsiTheme="majorHAnsi" w:cstheme="majorHAnsi"/>
        </w:rPr>
        <w:t>history, ethics, and theology</w:t>
      </w:r>
      <w:r w:rsidR="006A3B83">
        <w:rPr>
          <w:rFonts w:asciiTheme="majorHAnsi" w:hAnsiTheme="majorHAnsi" w:cstheme="majorHAnsi"/>
        </w:rPr>
        <w:t xml:space="preserve"> </w:t>
      </w:r>
      <w:r w:rsidR="006A3B83" w:rsidRPr="006A3B83">
        <w:rPr>
          <w:rFonts w:asciiTheme="majorHAnsi" w:hAnsiTheme="majorHAnsi" w:cstheme="majorHAnsi"/>
        </w:rPr>
        <w:t>(systematic, constructive, contextual,</w:t>
      </w:r>
      <w:r w:rsidR="006A3B83">
        <w:rPr>
          <w:rFonts w:asciiTheme="majorHAnsi" w:hAnsiTheme="majorHAnsi" w:cstheme="majorHAnsi"/>
        </w:rPr>
        <w:t xml:space="preserve"> </w:t>
      </w:r>
      <w:r w:rsidR="006A3B83" w:rsidRPr="006A3B83">
        <w:rPr>
          <w:rFonts w:asciiTheme="majorHAnsi" w:hAnsiTheme="majorHAnsi" w:cstheme="majorHAnsi"/>
        </w:rPr>
        <w:t>and pastoral) that is substantial and</w:t>
      </w:r>
      <w:r w:rsidR="006A3B83">
        <w:rPr>
          <w:rFonts w:asciiTheme="majorHAnsi" w:hAnsiTheme="majorHAnsi" w:cstheme="majorHAnsi"/>
        </w:rPr>
        <w:t xml:space="preserve"> </w:t>
      </w:r>
      <w:r w:rsidR="006A3B83" w:rsidRPr="006A3B83">
        <w:rPr>
          <w:rFonts w:asciiTheme="majorHAnsi" w:hAnsiTheme="majorHAnsi" w:cstheme="majorHAnsi"/>
        </w:rPr>
        <w:t xml:space="preserve">relevant for </w:t>
      </w:r>
      <w:proofErr w:type="gramStart"/>
      <w:r w:rsidR="006A3B83" w:rsidRPr="006A3B83">
        <w:rPr>
          <w:rFonts w:asciiTheme="majorHAnsi" w:hAnsiTheme="majorHAnsi" w:cstheme="majorHAnsi"/>
        </w:rPr>
        <w:t>particular diverse</w:t>
      </w:r>
      <w:proofErr w:type="gramEnd"/>
      <w:r w:rsidR="006A3B83" w:rsidRPr="006A3B83">
        <w:rPr>
          <w:rFonts w:asciiTheme="majorHAnsi" w:hAnsiTheme="majorHAnsi" w:cstheme="majorHAnsi"/>
        </w:rPr>
        <w:t xml:space="preserve"> ministries</w:t>
      </w:r>
      <w:r w:rsidR="006A3B83">
        <w:rPr>
          <w:rFonts w:asciiTheme="majorHAnsi" w:hAnsiTheme="majorHAnsi" w:cstheme="majorHAnsi"/>
        </w:rPr>
        <w:t xml:space="preserve"> along with </w:t>
      </w:r>
      <w:r w:rsidR="007E4E29" w:rsidRPr="006A3B83">
        <w:rPr>
          <w:rFonts w:asciiTheme="majorHAnsi" w:hAnsiTheme="majorHAnsi" w:cstheme="majorHAnsi"/>
        </w:rPr>
        <w:t>c</w:t>
      </w:r>
      <w:r w:rsidR="007010A6" w:rsidRPr="006A3B83">
        <w:rPr>
          <w:rFonts w:asciiTheme="majorHAnsi" w:hAnsiTheme="majorHAnsi" w:cstheme="majorHAnsi"/>
        </w:rPr>
        <w:t xml:space="preserve">omprehension of intercultural contextual issues </w:t>
      </w:r>
      <w:r w:rsidR="007010A6" w:rsidRPr="006A3B83">
        <w:rPr>
          <w:rFonts w:asciiTheme="majorHAnsi" w:hAnsiTheme="majorHAnsi" w:cstheme="majorHAnsi"/>
        </w:rPr>
        <w:lastRenderedPageBreak/>
        <w:t xml:space="preserve">bearing upon ministry and leadership in diverse communities </w:t>
      </w:r>
      <w:r w:rsidR="002071E4" w:rsidRPr="006A3B83">
        <w:rPr>
          <w:rFonts w:asciiTheme="majorHAnsi" w:hAnsiTheme="majorHAnsi" w:cstheme="majorHAnsi"/>
        </w:rPr>
        <w:t>as the program’s distinctive strengths</w:t>
      </w:r>
      <w:r w:rsidR="00922BAB" w:rsidRPr="006A3B83">
        <w:rPr>
          <w:rFonts w:asciiTheme="majorHAnsi" w:hAnsiTheme="majorHAnsi" w:cstheme="majorHAnsi"/>
        </w:rPr>
        <w:t xml:space="preserve"> (“effective” or “very effective”)</w:t>
      </w:r>
      <w:r w:rsidR="002071E4" w:rsidRPr="006A3B83">
        <w:rPr>
          <w:rFonts w:asciiTheme="majorHAnsi" w:hAnsiTheme="majorHAnsi" w:cstheme="majorHAnsi"/>
        </w:rPr>
        <w:t>.</w:t>
      </w:r>
    </w:p>
    <w:p w14:paraId="3F1DF3D2" w14:textId="72D0A151" w:rsidR="00A743B7" w:rsidRPr="002E51C3" w:rsidRDefault="00A743B7" w:rsidP="002E51C3">
      <w:pPr>
        <w:pStyle w:val="ListParagraph"/>
        <w:numPr>
          <w:ilvl w:val="0"/>
          <w:numId w:val="18"/>
        </w:numPr>
        <w:rPr>
          <w:rFonts w:asciiTheme="majorHAnsi" w:hAnsiTheme="majorHAnsi" w:cstheme="majorHAnsi"/>
        </w:rPr>
      </w:pPr>
      <w:r w:rsidRPr="002E51C3">
        <w:rPr>
          <w:rFonts w:asciiTheme="majorHAnsi" w:hAnsiTheme="majorHAnsi" w:cstheme="majorHAnsi"/>
          <w:b/>
          <w:bCs/>
        </w:rPr>
        <w:t xml:space="preserve">Master of Pastoral Studies: </w:t>
      </w:r>
      <w:r w:rsidRPr="002E51C3">
        <w:rPr>
          <w:rFonts w:asciiTheme="majorHAnsi" w:hAnsiTheme="majorHAnsi" w:cstheme="majorHAnsi"/>
        </w:rPr>
        <w:t>MPS</w:t>
      </w:r>
      <w:r w:rsidR="007010A6" w:rsidRPr="002E51C3">
        <w:rPr>
          <w:rFonts w:asciiTheme="majorHAnsi" w:hAnsiTheme="majorHAnsi" w:cstheme="majorHAnsi"/>
        </w:rPr>
        <w:t xml:space="preserve"> students</w:t>
      </w:r>
      <w:r w:rsidR="00922BAB">
        <w:rPr>
          <w:rFonts w:asciiTheme="majorHAnsi" w:hAnsiTheme="majorHAnsi" w:cstheme="majorHAnsi"/>
        </w:rPr>
        <w:t xml:space="preserve"> </w:t>
      </w:r>
      <w:r w:rsidR="009E01D6" w:rsidRPr="002E51C3">
        <w:rPr>
          <w:rFonts w:asciiTheme="majorHAnsi" w:hAnsiTheme="majorHAnsi" w:cstheme="majorHAnsi"/>
        </w:rPr>
        <w:t xml:space="preserve">from </w:t>
      </w:r>
      <w:r w:rsidR="007010A6" w:rsidRPr="002E51C3">
        <w:rPr>
          <w:rFonts w:asciiTheme="majorHAnsi" w:hAnsiTheme="majorHAnsi" w:cstheme="majorHAnsi"/>
        </w:rPr>
        <w:t xml:space="preserve">Buddhist, Christian, </w:t>
      </w:r>
      <w:proofErr w:type="gramStart"/>
      <w:r w:rsidR="007010A6" w:rsidRPr="002E51C3">
        <w:rPr>
          <w:rFonts w:asciiTheme="majorHAnsi" w:hAnsiTheme="majorHAnsi" w:cstheme="majorHAnsi"/>
        </w:rPr>
        <w:t>Muslim</w:t>
      </w:r>
      <w:proofErr w:type="gramEnd"/>
      <w:r w:rsidR="007010A6" w:rsidRPr="002E51C3">
        <w:rPr>
          <w:rFonts w:asciiTheme="majorHAnsi" w:hAnsiTheme="majorHAnsi" w:cstheme="majorHAnsi"/>
        </w:rPr>
        <w:t xml:space="preserve"> and other traditions</w:t>
      </w:r>
      <w:r w:rsidR="00922BAB">
        <w:rPr>
          <w:rFonts w:asciiTheme="majorHAnsi" w:hAnsiTheme="majorHAnsi" w:cstheme="majorHAnsi"/>
        </w:rPr>
        <w:t xml:space="preserve"> </w:t>
      </w:r>
      <w:r w:rsidR="006A3B83">
        <w:rPr>
          <w:rFonts w:asciiTheme="majorHAnsi" w:hAnsiTheme="majorHAnsi" w:cstheme="majorHAnsi"/>
        </w:rPr>
        <w:t xml:space="preserve">(including Certificate in Spiritual Care &amp; Psychotherapy students) </w:t>
      </w:r>
      <w:r w:rsidR="000E16BC" w:rsidRPr="002E51C3">
        <w:rPr>
          <w:rFonts w:asciiTheme="majorHAnsi" w:hAnsiTheme="majorHAnsi" w:cstheme="majorHAnsi"/>
        </w:rPr>
        <w:t>identified</w:t>
      </w:r>
      <w:r w:rsidR="008E1F54" w:rsidRPr="002E51C3">
        <w:rPr>
          <w:rFonts w:asciiTheme="majorHAnsi" w:hAnsiTheme="majorHAnsi" w:cstheme="majorHAnsi"/>
        </w:rPr>
        <w:t xml:space="preserve"> </w:t>
      </w:r>
      <w:r w:rsidR="00C24FE4" w:rsidRPr="002E51C3">
        <w:rPr>
          <w:rFonts w:asciiTheme="majorHAnsi" w:hAnsiTheme="majorHAnsi" w:cstheme="majorHAnsi"/>
        </w:rPr>
        <w:t>“k</w:t>
      </w:r>
      <w:r w:rsidR="007010A6" w:rsidRPr="002E51C3">
        <w:rPr>
          <w:rFonts w:asciiTheme="majorHAnsi" w:hAnsiTheme="majorHAnsi" w:cstheme="majorHAnsi"/>
        </w:rPr>
        <w:t>nowledge of faith foundations (including sacred texts, religious history, religious-based ethics, tenets and diversity of religious traditions) (</w:t>
      </w:r>
      <w:r w:rsidR="006A3B83">
        <w:rPr>
          <w:rFonts w:asciiTheme="majorHAnsi" w:hAnsiTheme="majorHAnsi" w:cstheme="majorHAnsi"/>
        </w:rPr>
        <w:t>92</w:t>
      </w:r>
      <w:r w:rsidR="007010A6" w:rsidRPr="002E51C3">
        <w:rPr>
          <w:rFonts w:asciiTheme="majorHAnsi" w:hAnsiTheme="majorHAnsi" w:cstheme="majorHAnsi"/>
        </w:rPr>
        <w:t>%)</w:t>
      </w:r>
      <w:r w:rsidR="000E16BC" w:rsidRPr="002E51C3">
        <w:rPr>
          <w:rFonts w:asciiTheme="majorHAnsi" w:hAnsiTheme="majorHAnsi" w:cstheme="majorHAnsi"/>
        </w:rPr>
        <w:t xml:space="preserve"> as </w:t>
      </w:r>
      <w:r w:rsidR="002071E4" w:rsidRPr="002E51C3">
        <w:rPr>
          <w:rFonts w:asciiTheme="majorHAnsi" w:hAnsiTheme="majorHAnsi" w:cstheme="majorHAnsi"/>
        </w:rPr>
        <w:t>an area of</w:t>
      </w:r>
      <w:r w:rsidR="00922BAB">
        <w:rPr>
          <w:rFonts w:asciiTheme="majorHAnsi" w:hAnsiTheme="majorHAnsi" w:cstheme="majorHAnsi"/>
        </w:rPr>
        <w:t xml:space="preserve"> particular</w:t>
      </w:r>
      <w:r w:rsidR="002071E4" w:rsidRPr="002E51C3">
        <w:rPr>
          <w:rFonts w:asciiTheme="majorHAnsi" w:hAnsiTheme="majorHAnsi" w:cstheme="majorHAnsi"/>
        </w:rPr>
        <w:t xml:space="preserve"> </w:t>
      </w:r>
      <w:r w:rsidRPr="002E51C3">
        <w:rPr>
          <w:rFonts w:asciiTheme="majorHAnsi" w:hAnsiTheme="majorHAnsi" w:cstheme="majorHAnsi"/>
        </w:rPr>
        <w:t>effectiveness</w:t>
      </w:r>
      <w:r w:rsidR="00393865" w:rsidRPr="002E51C3">
        <w:rPr>
          <w:rFonts w:asciiTheme="majorHAnsi" w:hAnsiTheme="majorHAnsi" w:cstheme="majorHAnsi"/>
        </w:rPr>
        <w:t>.</w:t>
      </w:r>
    </w:p>
    <w:p w14:paraId="71F94BFF" w14:textId="07F25E53" w:rsidR="00A743B7" w:rsidRPr="002E51C3" w:rsidRDefault="00A743B7" w:rsidP="002E51C3">
      <w:pPr>
        <w:pStyle w:val="ListParagraph"/>
        <w:numPr>
          <w:ilvl w:val="0"/>
          <w:numId w:val="18"/>
        </w:numPr>
        <w:rPr>
          <w:rFonts w:asciiTheme="majorHAnsi" w:hAnsiTheme="majorHAnsi" w:cstheme="majorHAnsi"/>
        </w:rPr>
      </w:pPr>
      <w:r w:rsidRPr="002E51C3">
        <w:rPr>
          <w:rFonts w:asciiTheme="majorHAnsi" w:hAnsiTheme="majorHAnsi" w:cstheme="majorHAnsi"/>
          <w:b/>
          <w:bCs/>
        </w:rPr>
        <w:t xml:space="preserve">Master of Sacred Music: </w:t>
      </w:r>
      <w:r w:rsidR="00511E19" w:rsidRPr="002E51C3">
        <w:rPr>
          <w:rFonts w:asciiTheme="majorHAnsi" w:hAnsiTheme="majorHAnsi" w:cstheme="majorHAnsi"/>
        </w:rPr>
        <w:t>100% of our</w:t>
      </w:r>
      <w:r w:rsidR="00C93A6F" w:rsidRPr="002E51C3">
        <w:rPr>
          <w:rFonts w:asciiTheme="majorHAnsi" w:hAnsiTheme="majorHAnsi" w:cstheme="majorHAnsi"/>
        </w:rPr>
        <w:t xml:space="preserve"> </w:t>
      </w:r>
      <w:r w:rsidR="005A1B52" w:rsidRPr="002E51C3">
        <w:rPr>
          <w:rFonts w:asciiTheme="majorHAnsi" w:hAnsiTheme="majorHAnsi" w:cstheme="majorHAnsi"/>
        </w:rPr>
        <w:t>MSMus students found their program to be either “effective” or “very effective” at meeting its three outcomes</w:t>
      </w:r>
      <w:r w:rsidR="005E17DE" w:rsidRPr="002E51C3">
        <w:rPr>
          <w:rFonts w:asciiTheme="majorHAnsi" w:hAnsiTheme="majorHAnsi" w:cstheme="majorHAnsi"/>
        </w:rPr>
        <w:t xml:space="preserve"> of </w:t>
      </w:r>
      <w:r w:rsidR="00DD05FA" w:rsidRPr="002E51C3">
        <w:rPr>
          <w:rFonts w:asciiTheme="majorHAnsi" w:hAnsiTheme="majorHAnsi" w:cstheme="majorHAnsi"/>
        </w:rPr>
        <w:t>a</w:t>
      </w:r>
      <w:r w:rsidR="005A1B52" w:rsidRPr="002E51C3">
        <w:rPr>
          <w:rFonts w:asciiTheme="majorHAnsi" w:hAnsiTheme="majorHAnsi" w:cstheme="majorHAnsi"/>
        </w:rPr>
        <w:t>n informed musical sensibility in performance practice</w:t>
      </w:r>
      <w:r w:rsidR="008E1F54" w:rsidRPr="002E51C3">
        <w:rPr>
          <w:rFonts w:asciiTheme="majorHAnsi" w:hAnsiTheme="majorHAnsi" w:cstheme="majorHAnsi"/>
        </w:rPr>
        <w:t xml:space="preserve">; </w:t>
      </w:r>
      <w:r w:rsidR="00DD05FA" w:rsidRPr="002E51C3">
        <w:rPr>
          <w:rFonts w:asciiTheme="majorHAnsi" w:hAnsiTheme="majorHAnsi" w:cstheme="majorHAnsi"/>
        </w:rPr>
        <w:t>b</w:t>
      </w:r>
      <w:r w:rsidR="005A1B52" w:rsidRPr="002E51C3">
        <w:rPr>
          <w:rFonts w:asciiTheme="majorHAnsi" w:hAnsiTheme="majorHAnsi" w:cstheme="majorHAnsi"/>
        </w:rPr>
        <w:t>asic knowledge of Christina scripture, history, and theology</w:t>
      </w:r>
      <w:r w:rsidR="00DD05FA" w:rsidRPr="002E51C3">
        <w:rPr>
          <w:rFonts w:asciiTheme="majorHAnsi" w:hAnsiTheme="majorHAnsi" w:cstheme="majorHAnsi"/>
        </w:rPr>
        <w:t>; and</w:t>
      </w:r>
      <w:r w:rsidR="008E1F54" w:rsidRPr="002E51C3">
        <w:rPr>
          <w:rFonts w:asciiTheme="majorHAnsi" w:hAnsiTheme="majorHAnsi" w:cstheme="majorHAnsi"/>
        </w:rPr>
        <w:t xml:space="preserve"> </w:t>
      </w:r>
      <w:r w:rsidR="00DD05FA" w:rsidRPr="002E51C3">
        <w:rPr>
          <w:rFonts w:asciiTheme="majorHAnsi" w:hAnsiTheme="majorHAnsi" w:cstheme="majorHAnsi"/>
        </w:rPr>
        <w:t>c</w:t>
      </w:r>
      <w:r w:rsidR="005A1B52" w:rsidRPr="002E51C3">
        <w:rPr>
          <w:rFonts w:asciiTheme="majorHAnsi" w:hAnsiTheme="majorHAnsi" w:cstheme="majorHAnsi"/>
        </w:rPr>
        <w:t xml:space="preserve">ompetency in the skills, gifts and arts of ministry appropriate for leadership in local congregations and other settings. </w:t>
      </w:r>
    </w:p>
    <w:p w14:paraId="08F5369A" w14:textId="005B504B" w:rsidR="00D77626" w:rsidRPr="002E51C3" w:rsidRDefault="008E1F54" w:rsidP="002E51C3">
      <w:pPr>
        <w:pStyle w:val="ListParagraph"/>
        <w:numPr>
          <w:ilvl w:val="0"/>
          <w:numId w:val="18"/>
        </w:numPr>
      </w:pPr>
      <w:r w:rsidRPr="002E51C3">
        <w:rPr>
          <w:rFonts w:asciiTheme="majorHAnsi" w:hAnsiTheme="majorHAnsi" w:cstheme="majorHAnsi"/>
          <w:b/>
          <w:bCs/>
        </w:rPr>
        <w:t xml:space="preserve">Master of Theological Studies: </w:t>
      </w:r>
      <w:r w:rsidR="007F3521">
        <w:rPr>
          <w:rFonts w:asciiTheme="majorHAnsi" w:hAnsiTheme="majorHAnsi" w:cstheme="majorHAnsi"/>
        </w:rPr>
        <w:t xml:space="preserve"> </w:t>
      </w:r>
      <w:r w:rsidR="00511E19" w:rsidRPr="002E51C3">
        <w:rPr>
          <w:rFonts w:asciiTheme="majorHAnsi" w:hAnsiTheme="majorHAnsi" w:cstheme="majorHAnsi"/>
        </w:rPr>
        <w:t>100% of</w:t>
      </w:r>
      <w:r w:rsidR="00C93A6F" w:rsidRPr="002E51C3">
        <w:rPr>
          <w:rFonts w:asciiTheme="majorHAnsi" w:hAnsiTheme="majorHAnsi" w:cstheme="majorHAnsi"/>
        </w:rPr>
        <w:t xml:space="preserve"> the </w:t>
      </w:r>
      <w:r w:rsidR="007F3521">
        <w:rPr>
          <w:rFonts w:asciiTheme="majorHAnsi" w:hAnsiTheme="majorHAnsi" w:cstheme="majorHAnsi"/>
        </w:rPr>
        <w:t>2022</w:t>
      </w:r>
      <w:r w:rsidR="00226445" w:rsidRPr="002E51C3">
        <w:rPr>
          <w:rFonts w:asciiTheme="majorHAnsi" w:hAnsiTheme="majorHAnsi" w:cstheme="majorHAnsi"/>
        </w:rPr>
        <w:t xml:space="preserve"> </w:t>
      </w:r>
      <w:r w:rsidR="005A1B52" w:rsidRPr="002E51C3">
        <w:rPr>
          <w:rFonts w:asciiTheme="majorHAnsi" w:hAnsiTheme="majorHAnsi" w:cstheme="majorHAnsi"/>
        </w:rPr>
        <w:t xml:space="preserve">MTS </w:t>
      </w:r>
      <w:r w:rsidR="001443C7">
        <w:rPr>
          <w:rFonts w:asciiTheme="majorHAnsi" w:hAnsiTheme="majorHAnsi" w:cstheme="majorHAnsi"/>
        </w:rPr>
        <w:t>respondents</w:t>
      </w:r>
      <w:r w:rsidR="005A1B52" w:rsidRPr="002E51C3">
        <w:rPr>
          <w:rFonts w:asciiTheme="majorHAnsi" w:hAnsiTheme="majorHAnsi" w:cstheme="majorHAnsi"/>
        </w:rPr>
        <w:t xml:space="preserve"> found their program to be either “effective” or “very effective” at meeting its three outcomes: </w:t>
      </w:r>
      <w:r w:rsidR="00C24FE4" w:rsidRPr="00B41C63">
        <w:rPr>
          <w:rFonts w:asciiTheme="majorHAnsi" w:hAnsiTheme="majorHAnsi" w:cstheme="majorHAnsi"/>
        </w:rPr>
        <w:t>k</w:t>
      </w:r>
      <w:r w:rsidR="005A1B52" w:rsidRPr="002E51C3">
        <w:rPr>
          <w:rFonts w:asciiTheme="majorHAnsi" w:hAnsiTheme="majorHAnsi" w:cstheme="majorHAnsi"/>
        </w:rPr>
        <w:t>nowledge of scripture, history, ethics, and theology that is substantial and relevant</w:t>
      </w:r>
      <w:r w:rsidR="00C24FE4" w:rsidRPr="00B41C63">
        <w:rPr>
          <w:rFonts w:asciiTheme="majorHAnsi" w:hAnsiTheme="majorHAnsi" w:cstheme="majorHAnsi"/>
        </w:rPr>
        <w:t>; c</w:t>
      </w:r>
      <w:r w:rsidR="00C93A6F" w:rsidRPr="002E51C3">
        <w:rPr>
          <w:rFonts w:asciiTheme="majorHAnsi" w:hAnsiTheme="majorHAnsi" w:cstheme="majorHAnsi"/>
        </w:rPr>
        <w:t xml:space="preserve">omprehension of intercultural, </w:t>
      </w:r>
      <w:proofErr w:type="gramStart"/>
      <w:r w:rsidR="00C93A6F" w:rsidRPr="002E51C3">
        <w:rPr>
          <w:rFonts w:asciiTheme="majorHAnsi" w:hAnsiTheme="majorHAnsi" w:cstheme="majorHAnsi"/>
        </w:rPr>
        <w:t>interreligious</w:t>
      </w:r>
      <w:proofErr w:type="gramEnd"/>
      <w:r w:rsidR="00C93A6F" w:rsidRPr="002E51C3">
        <w:rPr>
          <w:rFonts w:asciiTheme="majorHAnsi" w:hAnsiTheme="majorHAnsi" w:cstheme="majorHAnsi"/>
        </w:rPr>
        <w:t xml:space="preserve"> and contextual issues bearing upon theological scholarship</w:t>
      </w:r>
      <w:r w:rsidR="00C24FE4" w:rsidRPr="00B41C63">
        <w:rPr>
          <w:rFonts w:asciiTheme="majorHAnsi" w:hAnsiTheme="majorHAnsi" w:cstheme="majorHAnsi"/>
        </w:rPr>
        <w:t>; and s</w:t>
      </w:r>
      <w:r w:rsidR="00C93A6F" w:rsidRPr="002E51C3">
        <w:rPr>
          <w:rFonts w:asciiTheme="majorHAnsi" w:hAnsiTheme="majorHAnsi" w:cstheme="majorHAnsi"/>
        </w:rPr>
        <w:t>kills and practices of theological scholarship.</w:t>
      </w:r>
    </w:p>
    <w:p w14:paraId="53F134DC" w14:textId="78F08C60" w:rsidR="00D11AD5" w:rsidRDefault="00B41C63" w:rsidP="00D11AD5">
      <w:pPr>
        <w:autoSpaceDE w:val="0"/>
        <w:autoSpaceDN w:val="0"/>
        <w:adjustRightInd w:val="0"/>
        <w:spacing w:after="0" w:line="240" w:lineRule="auto"/>
        <w:rPr>
          <w:rFonts w:asciiTheme="majorHAnsi" w:hAnsiTheme="majorHAnsi" w:cstheme="majorHAnsi"/>
          <w:b/>
        </w:rPr>
      </w:pPr>
      <w:r>
        <w:rPr>
          <w:rFonts w:asciiTheme="majorHAnsi" w:hAnsiTheme="majorHAnsi" w:cstheme="majorHAnsi"/>
          <w:b/>
        </w:rPr>
        <w:t>2.</w:t>
      </w:r>
      <w:r w:rsidR="00553B30">
        <w:rPr>
          <w:rFonts w:asciiTheme="majorHAnsi" w:hAnsiTheme="majorHAnsi" w:cstheme="majorHAnsi"/>
          <w:b/>
        </w:rPr>
        <w:t>2</w:t>
      </w:r>
      <w:r w:rsidR="00D11AD5" w:rsidRPr="00D91978">
        <w:rPr>
          <w:rFonts w:asciiTheme="majorHAnsi" w:hAnsiTheme="majorHAnsi" w:cstheme="majorHAnsi"/>
          <w:b/>
        </w:rPr>
        <w:t xml:space="preserve"> </w:t>
      </w:r>
      <w:r w:rsidR="000F160C">
        <w:rPr>
          <w:rFonts w:asciiTheme="majorHAnsi" w:hAnsiTheme="majorHAnsi" w:cstheme="majorHAnsi"/>
          <w:b/>
        </w:rPr>
        <w:t>Other Markers of Educational Effectiveness</w:t>
      </w:r>
    </w:p>
    <w:p w14:paraId="41E8E041" w14:textId="77777777" w:rsidR="000F160C" w:rsidRPr="00D91978" w:rsidRDefault="000F160C" w:rsidP="00D11AD5">
      <w:pPr>
        <w:autoSpaceDE w:val="0"/>
        <w:autoSpaceDN w:val="0"/>
        <w:adjustRightInd w:val="0"/>
        <w:spacing w:after="0" w:line="240" w:lineRule="auto"/>
        <w:rPr>
          <w:rFonts w:asciiTheme="majorHAnsi" w:hAnsiTheme="majorHAnsi" w:cstheme="majorHAnsi"/>
          <w:b/>
        </w:rPr>
      </w:pPr>
    </w:p>
    <w:p w14:paraId="0FB4AA5A" w14:textId="51AABC92" w:rsidR="00D11AD5" w:rsidRPr="00D91978" w:rsidRDefault="00D11AD5" w:rsidP="00D11AD5">
      <w:p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Feedback from the</w:t>
      </w:r>
      <w:r>
        <w:rPr>
          <w:rFonts w:asciiTheme="majorHAnsi" w:hAnsiTheme="majorHAnsi" w:cstheme="majorHAnsi"/>
        </w:rPr>
        <w:t xml:space="preserve"> 202</w:t>
      </w:r>
      <w:r w:rsidR="007F3521">
        <w:rPr>
          <w:rFonts w:asciiTheme="majorHAnsi" w:hAnsiTheme="majorHAnsi" w:cstheme="majorHAnsi"/>
        </w:rPr>
        <w:t>2</w:t>
      </w:r>
      <w:r>
        <w:rPr>
          <w:rFonts w:asciiTheme="majorHAnsi" w:hAnsiTheme="majorHAnsi" w:cstheme="majorHAnsi"/>
        </w:rPr>
        <w:t>-2</w:t>
      </w:r>
      <w:r w:rsidR="007F3521">
        <w:rPr>
          <w:rFonts w:asciiTheme="majorHAnsi" w:hAnsiTheme="majorHAnsi" w:cstheme="majorHAnsi"/>
        </w:rPr>
        <w:t>3</w:t>
      </w:r>
      <w:r w:rsidRPr="00D91978">
        <w:rPr>
          <w:rFonts w:asciiTheme="majorHAnsi" w:hAnsiTheme="majorHAnsi" w:cstheme="majorHAnsi"/>
        </w:rPr>
        <w:t xml:space="preserve"> Graduating Student Questionnaire (GSQ), administered by the Association of Theological Schools (ATS), is one significant means by which to judge the effectiveness of Emmanuel College programs. </w:t>
      </w:r>
      <w:r>
        <w:rPr>
          <w:rFonts w:asciiTheme="majorHAnsi" w:hAnsiTheme="majorHAnsi" w:cstheme="majorHAnsi"/>
        </w:rPr>
        <w:t>T</w:t>
      </w:r>
      <w:r w:rsidRPr="00D91978">
        <w:rPr>
          <w:rFonts w:asciiTheme="majorHAnsi" w:hAnsiTheme="majorHAnsi" w:cstheme="majorHAnsi"/>
        </w:rPr>
        <w:t>he</w:t>
      </w:r>
      <w:r>
        <w:rPr>
          <w:rFonts w:asciiTheme="majorHAnsi" w:hAnsiTheme="majorHAnsi" w:cstheme="majorHAnsi"/>
        </w:rPr>
        <w:t xml:space="preserve"> GSQ</w:t>
      </w:r>
      <w:r w:rsidRPr="00D91978">
        <w:rPr>
          <w:rFonts w:asciiTheme="majorHAnsi" w:hAnsiTheme="majorHAnsi" w:cstheme="majorHAnsi"/>
        </w:rPr>
        <w:t xml:space="preserve"> show</w:t>
      </w:r>
      <w:r>
        <w:rPr>
          <w:rFonts w:asciiTheme="majorHAnsi" w:hAnsiTheme="majorHAnsi" w:cstheme="majorHAnsi"/>
        </w:rPr>
        <w:t>s</w:t>
      </w:r>
      <w:r w:rsidRPr="00D91978">
        <w:rPr>
          <w:rFonts w:asciiTheme="majorHAnsi" w:hAnsiTheme="majorHAnsi" w:cstheme="majorHAnsi"/>
        </w:rPr>
        <w:t xml:space="preserve"> that </w:t>
      </w:r>
      <w:r w:rsidRPr="002E51C3">
        <w:rPr>
          <w:rFonts w:asciiTheme="majorHAnsi" w:hAnsiTheme="majorHAnsi" w:cstheme="majorHAnsi"/>
        </w:rPr>
        <w:t>graduates</w:t>
      </w:r>
      <w:r w:rsidRPr="00D91978">
        <w:rPr>
          <w:rFonts w:asciiTheme="majorHAnsi" w:hAnsiTheme="majorHAnsi" w:cstheme="majorHAnsi"/>
          <w:b/>
          <w:bCs/>
        </w:rPr>
        <w:t xml:space="preserve"> </w:t>
      </w:r>
      <w:r w:rsidRPr="00D91978">
        <w:rPr>
          <w:rFonts w:asciiTheme="majorHAnsi" w:hAnsiTheme="majorHAnsi" w:cstheme="majorHAnsi"/>
        </w:rPr>
        <w:t>regard their learning at Emmanuel to be of a consistently high quality overall.</w:t>
      </w:r>
    </w:p>
    <w:p w14:paraId="20F7F2FF" w14:textId="77777777" w:rsidR="00D11AD5" w:rsidRPr="00D91978" w:rsidRDefault="00D11AD5" w:rsidP="00D11AD5">
      <w:pPr>
        <w:autoSpaceDE w:val="0"/>
        <w:autoSpaceDN w:val="0"/>
        <w:adjustRightInd w:val="0"/>
        <w:spacing w:after="0" w:line="240" w:lineRule="auto"/>
        <w:rPr>
          <w:rFonts w:asciiTheme="majorHAnsi" w:hAnsiTheme="majorHAnsi" w:cstheme="majorHAnsi"/>
        </w:rPr>
      </w:pPr>
    </w:p>
    <w:p w14:paraId="6331F23B" w14:textId="08504856" w:rsidR="00D11AD5" w:rsidRPr="00D91978" w:rsidRDefault="007F3521" w:rsidP="00D11AD5">
      <w:pPr>
        <w:autoSpaceDE w:val="0"/>
        <w:autoSpaceDN w:val="0"/>
        <w:adjustRightInd w:val="0"/>
        <w:spacing w:after="0" w:line="240" w:lineRule="auto"/>
        <w:rPr>
          <w:rFonts w:asciiTheme="majorHAnsi" w:hAnsiTheme="majorHAnsi" w:cstheme="majorHAnsi"/>
        </w:rPr>
      </w:pPr>
      <w:r>
        <w:rPr>
          <w:rFonts w:asciiTheme="majorHAnsi" w:hAnsiTheme="majorHAnsi" w:cstheme="majorHAnsi"/>
        </w:rPr>
        <w:t>Across all programs</w:t>
      </w:r>
      <w:r w:rsidR="00D11AD5" w:rsidRPr="00D91978">
        <w:rPr>
          <w:rFonts w:asciiTheme="majorHAnsi" w:hAnsiTheme="majorHAnsi" w:cstheme="majorHAnsi"/>
        </w:rPr>
        <w:t xml:space="preserve">, on average, graduates rated the Emmanuel curriculum as “effective” to “very effective” in teaching the following ministry skills (GSQ #15): </w:t>
      </w:r>
    </w:p>
    <w:p w14:paraId="0E26BA39" w14:textId="77777777" w:rsidR="00D11AD5" w:rsidRPr="00D91978" w:rsidRDefault="00D11AD5" w:rsidP="00D11AD5">
      <w:pPr>
        <w:autoSpaceDE w:val="0"/>
        <w:autoSpaceDN w:val="0"/>
        <w:adjustRightInd w:val="0"/>
        <w:spacing w:after="0" w:line="240" w:lineRule="auto"/>
        <w:rPr>
          <w:rFonts w:asciiTheme="majorHAnsi" w:hAnsiTheme="majorHAnsi" w:cstheme="majorHAnsi"/>
        </w:rPr>
      </w:pPr>
    </w:p>
    <w:p w14:paraId="7EC2C8B0" w14:textId="77777777" w:rsidR="00D11AD5" w:rsidRPr="00D91978" w:rsidRDefault="00D11AD5" w:rsidP="00D11AD5">
      <w:pPr>
        <w:pStyle w:val="ListParagraph"/>
        <w:numPr>
          <w:ilvl w:val="0"/>
          <w:numId w:val="2"/>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ability to preach well</w:t>
      </w:r>
    </w:p>
    <w:p w14:paraId="03936FFD" w14:textId="77777777" w:rsidR="00D11AD5" w:rsidRPr="00D91978" w:rsidRDefault="00D11AD5" w:rsidP="00D11AD5">
      <w:pPr>
        <w:pStyle w:val="ListParagraph"/>
        <w:numPr>
          <w:ilvl w:val="0"/>
          <w:numId w:val="2"/>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a</w:t>
      </w:r>
      <w:r w:rsidRPr="00DD37F8">
        <w:rPr>
          <w:rFonts w:asciiTheme="majorHAnsi" w:hAnsiTheme="majorHAnsi" w:cstheme="majorHAnsi"/>
        </w:rPr>
        <w:t xml:space="preserve">bility to lead </w:t>
      </w:r>
      <w:proofErr w:type="gramStart"/>
      <w:r w:rsidRPr="00DD37F8">
        <w:rPr>
          <w:rFonts w:asciiTheme="majorHAnsi" w:hAnsiTheme="majorHAnsi" w:cstheme="majorHAnsi"/>
        </w:rPr>
        <w:t>others</w:t>
      </w:r>
      <w:proofErr w:type="gramEnd"/>
    </w:p>
    <w:p w14:paraId="4A3BE0F3" w14:textId="77777777" w:rsidR="00D11AD5" w:rsidRPr="00D91978" w:rsidRDefault="00D11AD5" w:rsidP="00D11AD5">
      <w:pPr>
        <w:pStyle w:val="ListParagraph"/>
        <w:numPr>
          <w:ilvl w:val="0"/>
          <w:numId w:val="2"/>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knowledge of church doctrine and history</w:t>
      </w:r>
    </w:p>
    <w:p w14:paraId="7631B246" w14:textId="77777777" w:rsidR="00D11AD5" w:rsidRDefault="00D11AD5" w:rsidP="00D11AD5">
      <w:pPr>
        <w:pStyle w:val="ListParagraph"/>
        <w:numPr>
          <w:ilvl w:val="0"/>
          <w:numId w:val="2"/>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ability to conduct worship/liturgy</w:t>
      </w:r>
    </w:p>
    <w:p w14:paraId="6B912C20" w14:textId="77777777" w:rsidR="00D11AD5" w:rsidRPr="00A71605" w:rsidRDefault="00D11AD5" w:rsidP="00D11AD5">
      <w:pPr>
        <w:pStyle w:val="ListParagraph"/>
        <w:numPr>
          <w:ilvl w:val="0"/>
          <w:numId w:val="2"/>
        </w:numPr>
        <w:rPr>
          <w:rFonts w:asciiTheme="majorHAnsi" w:hAnsiTheme="majorHAnsi" w:cstheme="majorHAnsi"/>
        </w:rPr>
      </w:pPr>
      <w:r>
        <w:rPr>
          <w:rFonts w:asciiTheme="majorHAnsi" w:hAnsiTheme="majorHAnsi" w:cstheme="majorHAnsi"/>
        </w:rPr>
        <w:t>a</w:t>
      </w:r>
      <w:r w:rsidRPr="00DD37F8">
        <w:rPr>
          <w:rFonts w:asciiTheme="majorHAnsi" w:hAnsiTheme="majorHAnsi" w:cstheme="majorHAnsi"/>
        </w:rPr>
        <w:t>bility to interact effectively with those of religious traditions</w:t>
      </w:r>
      <w:r>
        <w:rPr>
          <w:rFonts w:asciiTheme="majorHAnsi" w:hAnsiTheme="majorHAnsi" w:cstheme="majorHAnsi"/>
        </w:rPr>
        <w:t xml:space="preserve"> </w:t>
      </w:r>
      <w:r w:rsidRPr="00A71605">
        <w:rPr>
          <w:rFonts w:asciiTheme="majorHAnsi" w:hAnsiTheme="majorHAnsi" w:cstheme="majorHAnsi"/>
        </w:rPr>
        <w:t>other than my own</w:t>
      </w:r>
    </w:p>
    <w:p w14:paraId="71789D3C" w14:textId="724F8D14" w:rsidR="00E41A5A" w:rsidRDefault="00D11AD5" w:rsidP="00D11AD5">
      <w:pPr>
        <w:pStyle w:val="ListParagraph"/>
        <w:numPr>
          <w:ilvl w:val="0"/>
          <w:numId w:val="2"/>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ability to work effectively with</w:t>
      </w:r>
      <w:r w:rsidR="00E41A5A">
        <w:rPr>
          <w:rFonts w:asciiTheme="majorHAnsi" w:hAnsiTheme="majorHAnsi" w:cstheme="majorHAnsi"/>
        </w:rPr>
        <w:t xml:space="preserve">in my own religious </w:t>
      </w:r>
      <w:proofErr w:type="gramStart"/>
      <w:r w:rsidR="00E41A5A">
        <w:rPr>
          <w:rFonts w:asciiTheme="majorHAnsi" w:hAnsiTheme="majorHAnsi" w:cstheme="majorHAnsi"/>
        </w:rPr>
        <w:t>tradition</w:t>
      </w:r>
      <w:proofErr w:type="gramEnd"/>
    </w:p>
    <w:p w14:paraId="0D7D304F" w14:textId="58C66291" w:rsidR="00E41A5A" w:rsidRDefault="00E41A5A" w:rsidP="00E41A5A">
      <w:pPr>
        <w:pStyle w:val="ListParagraph"/>
        <w:numPr>
          <w:ilvl w:val="0"/>
          <w:numId w:val="2"/>
        </w:numPr>
        <w:rPr>
          <w:rFonts w:asciiTheme="majorHAnsi" w:hAnsiTheme="majorHAnsi" w:cstheme="majorHAnsi"/>
        </w:rPr>
      </w:pPr>
      <w:r>
        <w:rPr>
          <w:rFonts w:asciiTheme="majorHAnsi" w:hAnsiTheme="majorHAnsi" w:cstheme="majorHAnsi"/>
        </w:rPr>
        <w:t>a</w:t>
      </w:r>
      <w:r w:rsidRPr="00E41A5A">
        <w:rPr>
          <w:rFonts w:asciiTheme="majorHAnsi" w:hAnsiTheme="majorHAnsi" w:cstheme="majorHAnsi"/>
        </w:rPr>
        <w:t>bility to interact effectively with those from cultural and</w:t>
      </w:r>
      <w:r>
        <w:rPr>
          <w:rFonts w:asciiTheme="majorHAnsi" w:hAnsiTheme="majorHAnsi" w:cstheme="majorHAnsi"/>
        </w:rPr>
        <w:t xml:space="preserve"> </w:t>
      </w:r>
      <w:r w:rsidRPr="00E41A5A">
        <w:rPr>
          <w:rFonts w:asciiTheme="majorHAnsi" w:hAnsiTheme="majorHAnsi" w:cstheme="majorHAnsi"/>
        </w:rPr>
        <w:t xml:space="preserve">racial/ethnic contexts other than my </w:t>
      </w:r>
      <w:proofErr w:type="gramStart"/>
      <w:r w:rsidRPr="00E41A5A">
        <w:rPr>
          <w:rFonts w:asciiTheme="majorHAnsi" w:hAnsiTheme="majorHAnsi" w:cstheme="majorHAnsi"/>
        </w:rPr>
        <w:t>own</w:t>
      </w:r>
      <w:proofErr w:type="gramEnd"/>
    </w:p>
    <w:p w14:paraId="634C1286" w14:textId="14F97A96" w:rsidR="00E41A5A" w:rsidRPr="00E41A5A" w:rsidRDefault="00E41A5A" w:rsidP="00E41A5A">
      <w:pPr>
        <w:pStyle w:val="ListParagraph"/>
        <w:numPr>
          <w:ilvl w:val="0"/>
          <w:numId w:val="2"/>
        </w:numPr>
        <w:rPr>
          <w:rFonts w:asciiTheme="majorHAnsi" w:hAnsiTheme="majorHAnsi" w:cstheme="majorHAnsi"/>
        </w:rPr>
      </w:pPr>
      <w:r>
        <w:rPr>
          <w:rFonts w:asciiTheme="majorHAnsi" w:hAnsiTheme="majorHAnsi" w:cstheme="majorHAnsi"/>
        </w:rPr>
        <w:t>a</w:t>
      </w:r>
      <w:r w:rsidRPr="00E41A5A">
        <w:rPr>
          <w:rFonts w:asciiTheme="majorHAnsi" w:hAnsiTheme="majorHAnsi" w:cstheme="majorHAnsi"/>
        </w:rPr>
        <w:t>wareness and appreciation of the globalized context i</w:t>
      </w:r>
      <w:r>
        <w:rPr>
          <w:rFonts w:asciiTheme="majorHAnsi" w:hAnsiTheme="majorHAnsi" w:cstheme="majorHAnsi"/>
        </w:rPr>
        <w:t xml:space="preserve">n </w:t>
      </w:r>
      <w:r w:rsidRPr="00E41A5A">
        <w:rPr>
          <w:rFonts w:asciiTheme="majorHAnsi" w:hAnsiTheme="majorHAnsi" w:cstheme="majorHAnsi"/>
        </w:rPr>
        <w:t xml:space="preserve">which ministry is </w:t>
      </w:r>
      <w:proofErr w:type="gramStart"/>
      <w:r w:rsidRPr="00E41A5A">
        <w:rPr>
          <w:rFonts w:asciiTheme="majorHAnsi" w:hAnsiTheme="majorHAnsi" w:cstheme="majorHAnsi"/>
        </w:rPr>
        <w:t>practiced</w:t>
      </w:r>
      <w:proofErr w:type="gramEnd"/>
    </w:p>
    <w:p w14:paraId="3B56BBD7" w14:textId="20C3AB86" w:rsidR="00D11AD5" w:rsidRDefault="00E41A5A" w:rsidP="00D11AD5">
      <w:pPr>
        <w:pStyle w:val="ListParagraph"/>
        <w:numPr>
          <w:ilvl w:val="0"/>
          <w:numId w:val="2"/>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ability to work effectively with</w:t>
      </w:r>
      <w:r>
        <w:rPr>
          <w:rFonts w:asciiTheme="majorHAnsi" w:hAnsiTheme="majorHAnsi" w:cstheme="majorHAnsi"/>
        </w:rPr>
        <w:t xml:space="preserve"> </w:t>
      </w:r>
      <w:r w:rsidR="00D11AD5">
        <w:rPr>
          <w:rFonts w:asciiTheme="majorHAnsi" w:hAnsiTheme="majorHAnsi" w:cstheme="majorHAnsi"/>
        </w:rPr>
        <w:t xml:space="preserve">all </w:t>
      </w:r>
      <w:proofErr w:type="gramStart"/>
      <w:r w:rsidR="00D11AD5">
        <w:rPr>
          <w:rFonts w:asciiTheme="majorHAnsi" w:hAnsiTheme="majorHAnsi" w:cstheme="majorHAnsi"/>
        </w:rPr>
        <w:t>genders</w:t>
      </w:r>
      <w:proofErr w:type="gramEnd"/>
    </w:p>
    <w:p w14:paraId="0970F675" w14:textId="77777777" w:rsidR="00D11AD5" w:rsidRDefault="00D11AD5" w:rsidP="00D11AD5">
      <w:pPr>
        <w:pStyle w:val="ListParagraph"/>
        <w:numPr>
          <w:ilvl w:val="0"/>
          <w:numId w:val="2"/>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a</w:t>
      </w:r>
      <w:r w:rsidRPr="00A71605">
        <w:rPr>
          <w:rFonts w:asciiTheme="majorHAnsi" w:hAnsiTheme="majorHAnsi" w:cstheme="majorHAnsi"/>
        </w:rPr>
        <w:t>bility to relate social issues to faith</w:t>
      </w:r>
    </w:p>
    <w:p w14:paraId="4DABA7B1" w14:textId="77777777" w:rsidR="00D11AD5" w:rsidRPr="00D91978" w:rsidRDefault="00D11AD5" w:rsidP="00D11AD5">
      <w:pPr>
        <w:pStyle w:val="ListParagraph"/>
        <w:numPr>
          <w:ilvl w:val="0"/>
          <w:numId w:val="2"/>
        </w:numPr>
        <w:autoSpaceDE w:val="0"/>
        <w:autoSpaceDN w:val="0"/>
        <w:adjustRightInd w:val="0"/>
        <w:spacing w:after="0" w:line="240" w:lineRule="auto"/>
        <w:rPr>
          <w:rFonts w:asciiTheme="majorHAnsi" w:hAnsiTheme="majorHAnsi" w:cstheme="majorHAnsi"/>
        </w:rPr>
      </w:pPr>
      <w:r>
        <w:rPr>
          <w:rFonts w:asciiTheme="majorHAnsi" w:hAnsiTheme="majorHAnsi" w:cstheme="majorHAnsi"/>
        </w:rPr>
        <w:t>a</w:t>
      </w:r>
      <w:r w:rsidRPr="00A71605">
        <w:rPr>
          <w:rFonts w:asciiTheme="majorHAnsi" w:hAnsiTheme="majorHAnsi" w:cstheme="majorHAnsi"/>
        </w:rPr>
        <w:t>bility in pastoral counseling</w:t>
      </w:r>
    </w:p>
    <w:p w14:paraId="4D4D0C30" w14:textId="77777777" w:rsidR="00D11AD5" w:rsidRPr="00D91978" w:rsidRDefault="00D11AD5" w:rsidP="00D11AD5">
      <w:pPr>
        <w:pStyle w:val="ListParagraph"/>
        <w:numPr>
          <w:ilvl w:val="0"/>
          <w:numId w:val="2"/>
        </w:numPr>
        <w:autoSpaceDE w:val="0"/>
        <w:autoSpaceDN w:val="0"/>
        <w:adjustRightInd w:val="0"/>
        <w:spacing w:after="0" w:line="240" w:lineRule="auto"/>
        <w:rPr>
          <w:rFonts w:asciiTheme="majorHAnsi" w:hAnsiTheme="majorHAnsi" w:cstheme="majorHAnsi"/>
        </w:rPr>
      </w:pPr>
      <w:r w:rsidRPr="00D91978">
        <w:rPr>
          <w:rFonts w:asciiTheme="majorHAnsi" w:hAnsiTheme="majorHAnsi" w:cstheme="majorHAnsi"/>
        </w:rPr>
        <w:t>ability to think theologically</w:t>
      </w:r>
    </w:p>
    <w:p w14:paraId="1FD973F1" w14:textId="77777777" w:rsidR="00D11AD5" w:rsidRPr="00D91978" w:rsidRDefault="00D11AD5" w:rsidP="00D11AD5">
      <w:pPr>
        <w:autoSpaceDE w:val="0"/>
        <w:autoSpaceDN w:val="0"/>
        <w:adjustRightInd w:val="0"/>
        <w:spacing w:after="0" w:line="240" w:lineRule="auto"/>
        <w:rPr>
          <w:rFonts w:asciiTheme="majorHAnsi" w:hAnsiTheme="majorHAnsi" w:cstheme="majorHAnsi"/>
        </w:rPr>
      </w:pPr>
    </w:p>
    <w:p w14:paraId="5FAED708" w14:textId="77777777" w:rsidR="005C1C20" w:rsidRDefault="005C1C20" w:rsidP="005A1B52">
      <w:pPr>
        <w:autoSpaceDE w:val="0"/>
        <w:autoSpaceDN w:val="0"/>
        <w:adjustRightInd w:val="0"/>
        <w:spacing w:after="0" w:line="240" w:lineRule="auto"/>
        <w:rPr>
          <w:rFonts w:asciiTheme="majorHAnsi" w:hAnsiTheme="majorHAnsi" w:cstheme="majorHAnsi"/>
        </w:rPr>
      </w:pPr>
    </w:p>
    <w:p w14:paraId="4AB817AE" w14:textId="4DDF37D8" w:rsidR="005C1C20" w:rsidRPr="002E51C3" w:rsidRDefault="005C1C20" w:rsidP="005C1C20">
      <w:pPr>
        <w:autoSpaceDE w:val="0"/>
        <w:autoSpaceDN w:val="0"/>
        <w:adjustRightInd w:val="0"/>
        <w:spacing w:after="0" w:line="240" w:lineRule="auto"/>
        <w:jc w:val="center"/>
        <w:rPr>
          <w:rFonts w:asciiTheme="majorHAnsi" w:hAnsiTheme="majorHAnsi" w:cstheme="majorHAnsi"/>
          <w:b/>
          <w:bCs/>
          <w:sz w:val="24"/>
          <w:szCs w:val="24"/>
        </w:rPr>
      </w:pPr>
      <w:r w:rsidRPr="002E51C3">
        <w:rPr>
          <w:rFonts w:asciiTheme="majorHAnsi" w:hAnsiTheme="majorHAnsi" w:cstheme="majorHAnsi"/>
          <w:b/>
          <w:bCs/>
          <w:sz w:val="24"/>
          <w:szCs w:val="24"/>
        </w:rPr>
        <w:t>3. GRADUATION AND PLACEMENT RATES</w:t>
      </w:r>
    </w:p>
    <w:p w14:paraId="7A75FCF2" w14:textId="77777777" w:rsidR="005C1C20" w:rsidRPr="00D91978" w:rsidRDefault="005C1C20" w:rsidP="005C1C20">
      <w:pPr>
        <w:autoSpaceDE w:val="0"/>
        <w:autoSpaceDN w:val="0"/>
        <w:adjustRightInd w:val="0"/>
        <w:spacing w:after="0" w:line="240" w:lineRule="auto"/>
        <w:rPr>
          <w:rFonts w:asciiTheme="majorHAnsi" w:hAnsiTheme="majorHAnsi" w:cstheme="majorHAnsi"/>
          <w:sz w:val="24"/>
          <w:szCs w:val="24"/>
        </w:rPr>
      </w:pPr>
    </w:p>
    <w:p w14:paraId="1B75C614" w14:textId="77777777" w:rsidR="005C1C20" w:rsidRPr="00D91978" w:rsidRDefault="005C1C20" w:rsidP="005C1C20">
      <w:pPr>
        <w:autoSpaceDE w:val="0"/>
        <w:autoSpaceDN w:val="0"/>
        <w:adjustRightInd w:val="0"/>
        <w:spacing w:after="0" w:line="240" w:lineRule="auto"/>
        <w:rPr>
          <w:rFonts w:asciiTheme="majorHAnsi" w:hAnsiTheme="majorHAnsi" w:cstheme="majorHAnsi"/>
          <w:sz w:val="24"/>
          <w:szCs w:val="24"/>
        </w:rPr>
      </w:pPr>
    </w:p>
    <w:p w14:paraId="33BD4C2C" w14:textId="1F472F7D" w:rsidR="000A5717" w:rsidRPr="002E51C3" w:rsidRDefault="005C1C20" w:rsidP="005C1C20">
      <w:pPr>
        <w:rPr>
          <w:rFonts w:asciiTheme="majorHAnsi" w:hAnsiTheme="majorHAnsi" w:cstheme="majorHAnsi"/>
          <w:bCs/>
        </w:rPr>
      </w:pPr>
      <w:r>
        <w:rPr>
          <w:rFonts w:asciiTheme="majorHAnsi" w:hAnsiTheme="majorHAnsi" w:cstheme="majorHAnsi"/>
          <w:b/>
        </w:rPr>
        <w:t xml:space="preserve">3.1 </w:t>
      </w:r>
      <w:r w:rsidRPr="00B75F94">
        <w:rPr>
          <w:rFonts w:asciiTheme="majorHAnsi" w:hAnsiTheme="majorHAnsi" w:cstheme="majorHAnsi"/>
          <w:b/>
        </w:rPr>
        <w:t>Graduation Rates</w:t>
      </w:r>
      <w:r w:rsidRPr="00D91978">
        <w:rPr>
          <w:rFonts w:asciiTheme="majorHAnsi" w:hAnsiTheme="majorHAnsi" w:cstheme="majorHAnsi"/>
          <w:b/>
        </w:rPr>
        <w:br/>
      </w:r>
      <w:r w:rsidRPr="00D91978">
        <w:rPr>
          <w:rFonts w:asciiTheme="majorHAnsi" w:hAnsiTheme="majorHAnsi" w:cstheme="majorHAnsi"/>
          <w:bCs/>
        </w:rPr>
        <w:t>Emmanuel</w:t>
      </w:r>
      <w:r w:rsidR="00697D90">
        <w:rPr>
          <w:rFonts w:asciiTheme="majorHAnsi" w:hAnsiTheme="majorHAnsi" w:cstheme="majorHAnsi"/>
          <w:bCs/>
        </w:rPr>
        <w:t xml:space="preserve"> College</w:t>
      </w:r>
      <w:r w:rsidRPr="00D91978">
        <w:rPr>
          <w:rFonts w:asciiTheme="majorHAnsi" w:hAnsiTheme="majorHAnsi" w:cstheme="majorHAnsi"/>
          <w:bCs/>
        </w:rPr>
        <w:t xml:space="preserve">’s graduation rates </w:t>
      </w:r>
      <w:r>
        <w:rPr>
          <w:rFonts w:asciiTheme="majorHAnsi" w:hAnsiTheme="majorHAnsi" w:cstheme="majorHAnsi"/>
          <w:bCs/>
        </w:rPr>
        <w:t>have varied</w:t>
      </w:r>
      <w:r w:rsidRPr="00D91978">
        <w:rPr>
          <w:rFonts w:asciiTheme="majorHAnsi" w:hAnsiTheme="majorHAnsi" w:cstheme="majorHAnsi"/>
          <w:bCs/>
        </w:rPr>
        <w:t xml:space="preserve"> in relation to other schools</w:t>
      </w:r>
      <w:r>
        <w:rPr>
          <w:rFonts w:asciiTheme="majorHAnsi" w:hAnsiTheme="majorHAnsi" w:cstheme="majorHAnsi"/>
          <w:bCs/>
        </w:rPr>
        <w:t xml:space="preserve"> and reflect a relatively high percentage of part-time students</w:t>
      </w:r>
      <w:r w:rsidRPr="00D91978">
        <w:rPr>
          <w:rFonts w:asciiTheme="majorHAnsi" w:hAnsiTheme="majorHAnsi" w:cstheme="majorHAnsi"/>
          <w:bCs/>
        </w:rPr>
        <w:t>. The graduation rate is defined as the percentage of students who were able to complete their chosen degree within a specified period of time</w:t>
      </w:r>
      <w:r w:rsidR="00DE2EA3">
        <w:rPr>
          <w:rFonts w:asciiTheme="majorHAnsi" w:hAnsiTheme="majorHAnsi" w:cstheme="majorHAnsi"/>
          <w:bCs/>
        </w:rPr>
        <w:t>,</w:t>
      </w:r>
      <w:r w:rsidRPr="00D91978">
        <w:rPr>
          <w:rFonts w:asciiTheme="majorHAnsi" w:hAnsiTheme="majorHAnsi" w:cstheme="majorHAnsi"/>
          <w:bCs/>
        </w:rPr>
        <w:t xml:space="preserve"> which approximates two times the </w:t>
      </w:r>
      <w:r>
        <w:rPr>
          <w:rFonts w:asciiTheme="majorHAnsi" w:hAnsiTheme="majorHAnsi" w:cstheme="majorHAnsi"/>
          <w:bCs/>
        </w:rPr>
        <w:t>full-time</w:t>
      </w:r>
      <w:r w:rsidRPr="00D91978">
        <w:rPr>
          <w:rFonts w:asciiTheme="majorHAnsi" w:hAnsiTheme="majorHAnsi" w:cstheme="majorHAnsi"/>
          <w:bCs/>
        </w:rPr>
        <w:t xml:space="preserve"> length of the degree. (In brackets, for comparison, is the average rate of all other ATS schools).* </w:t>
      </w:r>
    </w:p>
    <w:tbl>
      <w:tblPr>
        <w:tblStyle w:val="TableGrid"/>
        <w:tblW w:w="7672" w:type="dxa"/>
        <w:tblInd w:w="720" w:type="dxa"/>
        <w:tblLook w:val="04A0" w:firstRow="1" w:lastRow="0" w:firstColumn="1" w:lastColumn="0" w:noHBand="0" w:noVBand="1"/>
      </w:tblPr>
      <w:tblGrid>
        <w:gridCol w:w="1065"/>
        <w:gridCol w:w="996"/>
        <w:gridCol w:w="1516"/>
        <w:gridCol w:w="1301"/>
        <w:gridCol w:w="1203"/>
        <w:gridCol w:w="1591"/>
      </w:tblGrid>
      <w:tr w:rsidR="005C1C20" w:rsidRPr="00D91978" w14:paraId="16C319B8" w14:textId="77777777">
        <w:trPr>
          <w:trHeight w:val="688"/>
        </w:trPr>
        <w:tc>
          <w:tcPr>
            <w:tcW w:w="1065" w:type="dxa"/>
          </w:tcPr>
          <w:p w14:paraId="0F202AE9" w14:textId="77777777" w:rsidR="005C1C20" w:rsidRPr="00D91978" w:rsidRDefault="005C1C20">
            <w:pPr>
              <w:jc w:val="center"/>
              <w:rPr>
                <w:rFonts w:asciiTheme="majorHAnsi" w:hAnsiTheme="majorHAnsi" w:cstheme="majorHAnsi"/>
                <w:b/>
                <w:bCs/>
              </w:rPr>
            </w:pPr>
          </w:p>
        </w:tc>
        <w:tc>
          <w:tcPr>
            <w:tcW w:w="996" w:type="dxa"/>
          </w:tcPr>
          <w:p w14:paraId="601ADDF2" w14:textId="77777777" w:rsidR="005C1C20" w:rsidRPr="00D91978" w:rsidRDefault="005C1C20">
            <w:pPr>
              <w:jc w:val="center"/>
              <w:rPr>
                <w:rFonts w:asciiTheme="majorHAnsi" w:hAnsiTheme="majorHAnsi" w:cstheme="majorHAnsi"/>
                <w:b/>
                <w:bCs/>
              </w:rPr>
            </w:pPr>
            <w:r w:rsidRPr="00D91978">
              <w:rPr>
                <w:rFonts w:asciiTheme="majorHAnsi" w:hAnsiTheme="majorHAnsi" w:cstheme="majorHAnsi"/>
                <w:b/>
                <w:bCs/>
              </w:rPr>
              <w:t>MDiv</w:t>
            </w:r>
          </w:p>
        </w:tc>
        <w:tc>
          <w:tcPr>
            <w:tcW w:w="1516" w:type="dxa"/>
          </w:tcPr>
          <w:p w14:paraId="01C17AB0" w14:textId="77777777" w:rsidR="005C1C20" w:rsidRPr="00B75F94" w:rsidRDefault="005C1C20">
            <w:pPr>
              <w:jc w:val="center"/>
              <w:rPr>
                <w:rFonts w:asciiTheme="majorHAnsi" w:hAnsiTheme="majorHAnsi" w:cstheme="majorHAnsi"/>
                <w:b/>
                <w:bCs/>
              </w:rPr>
            </w:pPr>
            <w:r w:rsidRPr="00B75F94">
              <w:rPr>
                <w:rFonts w:asciiTheme="majorHAnsi" w:hAnsiTheme="majorHAnsi" w:cstheme="majorHAnsi"/>
                <w:b/>
                <w:bCs/>
              </w:rPr>
              <w:t>MPS, MSMus</w:t>
            </w:r>
            <w:r w:rsidRPr="00B75F94">
              <w:rPr>
                <w:rFonts w:asciiTheme="majorHAnsi" w:hAnsiTheme="majorHAnsi" w:cstheme="majorHAnsi"/>
                <w:b/>
                <w:bCs/>
              </w:rPr>
              <w:br/>
            </w:r>
            <w:r w:rsidRPr="00B75F94">
              <w:rPr>
                <w:rFonts w:asciiTheme="majorHAnsi" w:hAnsiTheme="majorHAnsi" w:cstheme="majorHAnsi"/>
                <w:i/>
                <w:iCs/>
                <w:sz w:val="20"/>
                <w:szCs w:val="20"/>
              </w:rPr>
              <w:t>Professional MA</w:t>
            </w:r>
          </w:p>
        </w:tc>
        <w:tc>
          <w:tcPr>
            <w:tcW w:w="1301" w:type="dxa"/>
          </w:tcPr>
          <w:p w14:paraId="768C6962" w14:textId="77777777" w:rsidR="005C1C20" w:rsidRPr="00B75F94" w:rsidRDefault="005C1C20">
            <w:pPr>
              <w:jc w:val="center"/>
              <w:rPr>
                <w:rFonts w:asciiTheme="majorHAnsi" w:hAnsiTheme="majorHAnsi" w:cstheme="majorHAnsi"/>
                <w:b/>
                <w:bCs/>
              </w:rPr>
            </w:pPr>
            <w:r w:rsidRPr="00B75F94">
              <w:rPr>
                <w:rFonts w:asciiTheme="majorHAnsi" w:hAnsiTheme="majorHAnsi" w:cstheme="majorHAnsi"/>
                <w:b/>
                <w:bCs/>
              </w:rPr>
              <w:t>MA, MTS</w:t>
            </w:r>
            <w:r w:rsidRPr="00B75F94">
              <w:rPr>
                <w:rFonts w:asciiTheme="majorHAnsi" w:hAnsiTheme="majorHAnsi" w:cstheme="majorHAnsi"/>
                <w:b/>
                <w:bCs/>
              </w:rPr>
              <w:br/>
            </w:r>
            <w:r w:rsidRPr="00B75F94">
              <w:rPr>
                <w:rFonts w:asciiTheme="majorHAnsi" w:hAnsiTheme="majorHAnsi" w:cstheme="majorHAnsi"/>
                <w:i/>
                <w:iCs/>
                <w:sz w:val="20"/>
                <w:szCs w:val="20"/>
              </w:rPr>
              <w:t>Academic MA</w:t>
            </w:r>
          </w:p>
        </w:tc>
        <w:tc>
          <w:tcPr>
            <w:tcW w:w="1203" w:type="dxa"/>
          </w:tcPr>
          <w:p w14:paraId="03B3BE55" w14:textId="77777777" w:rsidR="005C1C20" w:rsidRPr="00B75F94" w:rsidRDefault="005C1C20">
            <w:pPr>
              <w:jc w:val="center"/>
              <w:rPr>
                <w:rFonts w:asciiTheme="majorHAnsi" w:hAnsiTheme="majorHAnsi" w:cstheme="majorHAnsi"/>
                <w:b/>
                <w:bCs/>
                <w:u w:val="single"/>
              </w:rPr>
            </w:pPr>
            <w:r w:rsidRPr="00B75F94">
              <w:rPr>
                <w:rFonts w:asciiTheme="majorHAnsi" w:hAnsiTheme="majorHAnsi" w:cstheme="majorHAnsi"/>
                <w:b/>
                <w:bCs/>
                <w:u w:val="single"/>
              </w:rPr>
              <w:t>DMin</w:t>
            </w:r>
            <w:r w:rsidRPr="00B75F94">
              <w:rPr>
                <w:rFonts w:asciiTheme="majorHAnsi" w:hAnsiTheme="majorHAnsi" w:cstheme="majorHAnsi"/>
                <w:b/>
                <w:bCs/>
                <w:u w:val="single"/>
              </w:rPr>
              <w:br/>
            </w:r>
            <w:r w:rsidRPr="00B75F94">
              <w:rPr>
                <w:rFonts w:asciiTheme="majorHAnsi" w:hAnsiTheme="majorHAnsi" w:cstheme="majorHAnsi"/>
                <w:i/>
                <w:iCs/>
                <w:sz w:val="20"/>
                <w:szCs w:val="20"/>
              </w:rPr>
              <w:t>Advanced Professional</w:t>
            </w:r>
          </w:p>
        </w:tc>
        <w:tc>
          <w:tcPr>
            <w:tcW w:w="1591" w:type="dxa"/>
          </w:tcPr>
          <w:p w14:paraId="21997250" w14:textId="77777777" w:rsidR="005C1C20" w:rsidRPr="00D91978" w:rsidRDefault="005C1C20">
            <w:pPr>
              <w:jc w:val="center"/>
              <w:rPr>
                <w:rFonts w:asciiTheme="majorHAnsi" w:hAnsiTheme="majorHAnsi" w:cstheme="majorHAnsi"/>
                <w:b/>
                <w:bCs/>
                <w:u w:val="single"/>
              </w:rPr>
            </w:pPr>
            <w:r w:rsidRPr="00D91978">
              <w:rPr>
                <w:rFonts w:asciiTheme="majorHAnsi" w:eastAsiaTheme="minorEastAsia" w:hAnsiTheme="majorHAnsi" w:cstheme="majorHAnsi"/>
                <w:b/>
                <w:bCs/>
                <w:color w:val="000000"/>
                <w:lang w:val="en-US"/>
              </w:rPr>
              <w:t>ThD/PhD</w:t>
            </w:r>
          </w:p>
        </w:tc>
      </w:tr>
      <w:tr w:rsidR="00F20B1F" w:rsidRPr="00F20B1F" w14:paraId="32B098B7" w14:textId="77777777">
        <w:trPr>
          <w:trHeight w:val="688"/>
        </w:trPr>
        <w:tc>
          <w:tcPr>
            <w:tcW w:w="1065" w:type="dxa"/>
          </w:tcPr>
          <w:p w14:paraId="21A689AD" w14:textId="4735FE5B" w:rsidR="00F20B1F" w:rsidRPr="00F20B1F" w:rsidRDefault="00F20B1F" w:rsidP="00F20B1F">
            <w:pPr>
              <w:spacing w:after="0"/>
              <w:jc w:val="center"/>
              <w:rPr>
                <w:rFonts w:asciiTheme="majorHAnsi" w:hAnsiTheme="majorHAnsi" w:cstheme="majorHAnsi"/>
              </w:rPr>
            </w:pPr>
            <w:r w:rsidRPr="00F20B1F">
              <w:rPr>
                <w:rFonts w:asciiTheme="majorHAnsi" w:hAnsiTheme="majorHAnsi" w:cstheme="majorHAnsi"/>
              </w:rPr>
              <w:t>2022</w:t>
            </w:r>
          </w:p>
        </w:tc>
        <w:tc>
          <w:tcPr>
            <w:tcW w:w="996" w:type="dxa"/>
          </w:tcPr>
          <w:p w14:paraId="0CFC7B0E" w14:textId="343F74F8" w:rsidR="00F20B1F" w:rsidRPr="00F20B1F" w:rsidRDefault="00F20B1F" w:rsidP="00F20B1F">
            <w:pPr>
              <w:spacing w:after="0"/>
              <w:jc w:val="center"/>
              <w:rPr>
                <w:rFonts w:asciiTheme="majorHAnsi" w:hAnsiTheme="majorHAnsi" w:cstheme="majorHAnsi"/>
              </w:rPr>
            </w:pPr>
            <w:r w:rsidRPr="00F20B1F">
              <w:rPr>
                <w:rFonts w:asciiTheme="majorHAnsi" w:hAnsiTheme="majorHAnsi" w:cstheme="majorHAnsi"/>
              </w:rPr>
              <w:t>44</w:t>
            </w:r>
            <w:r>
              <w:rPr>
                <w:rFonts w:asciiTheme="majorHAnsi" w:hAnsiTheme="majorHAnsi" w:cstheme="majorHAnsi"/>
              </w:rPr>
              <w:t>%</w:t>
            </w:r>
            <w:r w:rsidRPr="00F20B1F">
              <w:rPr>
                <w:rFonts w:asciiTheme="majorHAnsi" w:hAnsiTheme="majorHAnsi" w:cstheme="majorHAnsi"/>
                <w:sz w:val="20"/>
                <w:szCs w:val="20"/>
              </w:rPr>
              <w:t xml:space="preserve"> (61%)</w:t>
            </w:r>
          </w:p>
        </w:tc>
        <w:tc>
          <w:tcPr>
            <w:tcW w:w="1516" w:type="dxa"/>
          </w:tcPr>
          <w:p w14:paraId="3F58DF7A" w14:textId="77777777" w:rsidR="00F20B1F" w:rsidRDefault="00D33EEE" w:rsidP="00F20B1F">
            <w:pPr>
              <w:spacing w:after="0"/>
              <w:jc w:val="center"/>
              <w:rPr>
                <w:rFonts w:asciiTheme="majorHAnsi" w:hAnsiTheme="majorHAnsi" w:cstheme="majorHAnsi"/>
              </w:rPr>
            </w:pPr>
            <w:r>
              <w:rPr>
                <w:rFonts w:asciiTheme="majorHAnsi" w:hAnsiTheme="majorHAnsi" w:cstheme="majorHAnsi"/>
              </w:rPr>
              <w:t>58%</w:t>
            </w:r>
          </w:p>
          <w:p w14:paraId="4D098D52" w14:textId="6A233BD3" w:rsidR="00D33EEE" w:rsidRPr="00F20B1F" w:rsidRDefault="00D33EEE" w:rsidP="00F20B1F">
            <w:pPr>
              <w:spacing w:after="0"/>
              <w:jc w:val="center"/>
              <w:rPr>
                <w:rFonts w:asciiTheme="majorHAnsi" w:hAnsiTheme="majorHAnsi" w:cstheme="majorHAnsi"/>
              </w:rPr>
            </w:pPr>
            <w:r w:rsidRPr="00D33EEE">
              <w:rPr>
                <w:rFonts w:asciiTheme="majorHAnsi" w:hAnsiTheme="majorHAnsi" w:cstheme="majorHAnsi"/>
                <w:sz w:val="20"/>
                <w:szCs w:val="20"/>
              </w:rPr>
              <w:t>(53%)</w:t>
            </w:r>
          </w:p>
        </w:tc>
        <w:tc>
          <w:tcPr>
            <w:tcW w:w="1301" w:type="dxa"/>
          </w:tcPr>
          <w:p w14:paraId="22F22B28" w14:textId="77777777" w:rsidR="00D33EEE" w:rsidRDefault="00D33EEE" w:rsidP="00D33EEE">
            <w:pPr>
              <w:spacing w:after="0"/>
              <w:jc w:val="center"/>
              <w:rPr>
                <w:rFonts w:asciiTheme="majorHAnsi" w:hAnsiTheme="majorHAnsi" w:cstheme="majorHAnsi"/>
              </w:rPr>
            </w:pPr>
            <w:r>
              <w:rPr>
                <w:rFonts w:asciiTheme="majorHAnsi" w:hAnsiTheme="majorHAnsi" w:cstheme="majorHAnsi"/>
              </w:rPr>
              <w:t>58%</w:t>
            </w:r>
          </w:p>
          <w:p w14:paraId="027F5657" w14:textId="3F6E6A7C" w:rsidR="00F20B1F" w:rsidRPr="00F20B1F" w:rsidRDefault="00D33EEE" w:rsidP="00D33EEE">
            <w:pPr>
              <w:spacing w:after="0"/>
              <w:jc w:val="center"/>
              <w:rPr>
                <w:rFonts w:asciiTheme="majorHAnsi" w:hAnsiTheme="majorHAnsi" w:cstheme="majorHAnsi"/>
              </w:rPr>
            </w:pPr>
            <w:r w:rsidRPr="00D33EEE">
              <w:rPr>
                <w:rFonts w:asciiTheme="majorHAnsi" w:hAnsiTheme="majorHAnsi" w:cstheme="majorHAnsi"/>
                <w:sz w:val="20"/>
                <w:szCs w:val="20"/>
              </w:rPr>
              <w:t>(53%)</w:t>
            </w:r>
          </w:p>
        </w:tc>
        <w:tc>
          <w:tcPr>
            <w:tcW w:w="1203" w:type="dxa"/>
          </w:tcPr>
          <w:p w14:paraId="6A1FE905" w14:textId="5327480C" w:rsidR="00F20B1F" w:rsidRPr="00F20B1F" w:rsidRDefault="00D33EEE" w:rsidP="00F20B1F">
            <w:pPr>
              <w:spacing w:after="0"/>
              <w:jc w:val="center"/>
              <w:rPr>
                <w:rFonts w:asciiTheme="majorHAnsi" w:hAnsiTheme="majorHAnsi" w:cstheme="majorHAnsi"/>
                <w:u w:val="single"/>
              </w:rPr>
            </w:pPr>
            <w:r>
              <w:rPr>
                <w:rFonts w:asciiTheme="majorHAnsi" w:hAnsiTheme="majorHAnsi" w:cstheme="majorHAnsi"/>
              </w:rPr>
              <w:t>n/a</w:t>
            </w:r>
            <w:r w:rsidRPr="00D91978">
              <w:rPr>
                <w:rFonts w:asciiTheme="majorHAnsi" w:hAnsiTheme="majorHAnsi" w:cstheme="majorHAnsi"/>
              </w:rPr>
              <w:br/>
            </w:r>
            <w:r w:rsidRPr="00D91978">
              <w:rPr>
                <w:rFonts w:asciiTheme="majorHAnsi" w:hAnsiTheme="majorHAnsi" w:cstheme="majorHAnsi"/>
                <w:sz w:val="20"/>
                <w:szCs w:val="20"/>
              </w:rPr>
              <w:t>(</w:t>
            </w:r>
            <w:r>
              <w:rPr>
                <w:rFonts w:asciiTheme="majorHAnsi" w:hAnsiTheme="majorHAnsi" w:cstheme="majorHAnsi"/>
                <w:sz w:val="20"/>
                <w:szCs w:val="20"/>
              </w:rPr>
              <w:t>50</w:t>
            </w:r>
            <w:r w:rsidRPr="00D91978">
              <w:rPr>
                <w:rFonts w:asciiTheme="majorHAnsi" w:hAnsiTheme="majorHAnsi" w:cstheme="majorHAnsi"/>
                <w:sz w:val="20"/>
                <w:szCs w:val="20"/>
              </w:rPr>
              <w:t>%)</w:t>
            </w:r>
          </w:p>
        </w:tc>
        <w:tc>
          <w:tcPr>
            <w:tcW w:w="1591" w:type="dxa"/>
          </w:tcPr>
          <w:p w14:paraId="2BEB2F93" w14:textId="77777777" w:rsidR="00F20B1F" w:rsidRDefault="00D33EEE" w:rsidP="00F20B1F">
            <w:pPr>
              <w:spacing w:after="0"/>
              <w:jc w:val="center"/>
              <w:rPr>
                <w:rFonts w:asciiTheme="majorHAnsi" w:eastAsiaTheme="minorEastAsia" w:hAnsiTheme="majorHAnsi" w:cstheme="majorHAnsi"/>
                <w:color w:val="000000"/>
                <w:lang w:val="en-US"/>
              </w:rPr>
            </w:pPr>
            <w:r>
              <w:rPr>
                <w:rFonts w:asciiTheme="majorHAnsi" w:eastAsiaTheme="minorEastAsia" w:hAnsiTheme="majorHAnsi" w:cstheme="majorHAnsi"/>
                <w:color w:val="000000"/>
                <w:lang w:val="en-US"/>
              </w:rPr>
              <w:t>50%</w:t>
            </w:r>
          </w:p>
          <w:p w14:paraId="653B6578" w14:textId="666FA27E" w:rsidR="00D33EEE" w:rsidRPr="00F20B1F" w:rsidRDefault="00D33EEE" w:rsidP="00F20B1F">
            <w:pPr>
              <w:spacing w:after="0"/>
              <w:jc w:val="center"/>
              <w:rPr>
                <w:rFonts w:asciiTheme="majorHAnsi" w:eastAsiaTheme="minorEastAsia" w:hAnsiTheme="majorHAnsi" w:cstheme="majorHAnsi"/>
                <w:color w:val="000000"/>
                <w:lang w:val="en-US"/>
              </w:rPr>
            </w:pPr>
            <w:r w:rsidRPr="00D33EEE">
              <w:rPr>
                <w:rFonts w:asciiTheme="majorHAnsi" w:eastAsiaTheme="minorEastAsia" w:hAnsiTheme="majorHAnsi" w:cstheme="majorHAnsi"/>
                <w:color w:val="000000"/>
                <w:sz w:val="20"/>
                <w:szCs w:val="20"/>
                <w:lang w:val="en-US"/>
              </w:rPr>
              <w:t>(52%)</w:t>
            </w:r>
          </w:p>
        </w:tc>
      </w:tr>
      <w:tr w:rsidR="005C1C20" w:rsidRPr="00D91978" w14:paraId="7A8ACBD7" w14:textId="77777777">
        <w:trPr>
          <w:trHeight w:val="419"/>
        </w:trPr>
        <w:tc>
          <w:tcPr>
            <w:tcW w:w="1065" w:type="dxa"/>
          </w:tcPr>
          <w:p w14:paraId="55BE533A" w14:textId="77777777" w:rsidR="005C1C20" w:rsidRPr="00D91978" w:rsidRDefault="005C1C20">
            <w:pPr>
              <w:jc w:val="center"/>
              <w:rPr>
                <w:rFonts w:asciiTheme="majorHAnsi" w:hAnsiTheme="majorHAnsi" w:cstheme="majorHAnsi"/>
              </w:rPr>
            </w:pPr>
            <w:r w:rsidRPr="00D91978">
              <w:rPr>
                <w:rFonts w:asciiTheme="majorHAnsi" w:eastAsiaTheme="minorEastAsia" w:hAnsiTheme="majorHAnsi" w:cstheme="majorHAnsi"/>
                <w:color w:val="000000"/>
                <w:lang w:val="en-US"/>
              </w:rPr>
              <w:t>202</w:t>
            </w:r>
            <w:r>
              <w:rPr>
                <w:rFonts w:asciiTheme="majorHAnsi" w:eastAsiaTheme="minorEastAsia" w:hAnsiTheme="majorHAnsi" w:cstheme="majorHAnsi"/>
                <w:color w:val="000000"/>
                <w:lang w:val="en-US"/>
              </w:rPr>
              <w:t>1</w:t>
            </w:r>
          </w:p>
        </w:tc>
        <w:tc>
          <w:tcPr>
            <w:tcW w:w="996" w:type="dxa"/>
          </w:tcPr>
          <w:p w14:paraId="018BB86F" w14:textId="77777777" w:rsidR="005C1C20" w:rsidRPr="00D91978" w:rsidRDefault="005C1C20">
            <w:pPr>
              <w:jc w:val="center"/>
              <w:rPr>
                <w:rFonts w:asciiTheme="majorHAnsi" w:hAnsiTheme="majorHAnsi" w:cstheme="majorHAnsi"/>
              </w:rPr>
            </w:pPr>
            <w:r>
              <w:rPr>
                <w:rFonts w:asciiTheme="majorHAnsi" w:hAnsiTheme="majorHAnsi" w:cstheme="majorHAnsi"/>
              </w:rPr>
              <w:t>38</w:t>
            </w:r>
            <w:r w:rsidRPr="00D91978">
              <w:rPr>
                <w:rFonts w:asciiTheme="majorHAnsi" w:hAnsiTheme="majorHAnsi" w:cstheme="majorHAnsi"/>
              </w:rPr>
              <w:t xml:space="preserve">% </w:t>
            </w:r>
            <w:r w:rsidRPr="00D91978">
              <w:rPr>
                <w:rFonts w:asciiTheme="majorHAnsi" w:hAnsiTheme="majorHAnsi" w:cstheme="majorHAnsi"/>
                <w:sz w:val="20"/>
                <w:szCs w:val="20"/>
              </w:rPr>
              <w:t>(</w:t>
            </w:r>
            <w:r>
              <w:rPr>
                <w:rFonts w:asciiTheme="majorHAnsi" w:hAnsiTheme="majorHAnsi" w:cstheme="majorHAnsi"/>
                <w:sz w:val="20"/>
                <w:szCs w:val="20"/>
              </w:rPr>
              <w:t>59</w:t>
            </w:r>
            <w:r w:rsidRPr="00D91978">
              <w:rPr>
                <w:rFonts w:asciiTheme="majorHAnsi" w:hAnsiTheme="majorHAnsi" w:cstheme="majorHAnsi"/>
                <w:sz w:val="20"/>
                <w:szCs w:val="20"/>
              </w:rPr>
              <w:t>%)</w:t>
            </w:r>
          </w:p>
        </w:tc>
        <w:tc>
          <w:tcPr>
            <w:tcW w:w="1516" w:type="dxa"/>
          </w:tcPr>
          <w:p w14:paraId="682F1E10" w14:textId="77777777" w:rsidR="005C1C20" w:rsidRPr="00751F26" w:rsidRDefault="005C1C20">
            <w:pPr>
              <w:jc w:val="center"/>
              <w:rPr>
                <w:rFonts w:asciiTheme="majorHAnsi" w:hAnsiTheme="majorHAnsi" w:cstheme="majorHAnsi"/>
                <w:highlight w:val="yellow"/>
              </w:rPr>
            </w:pPr>
            <w:r w:rsidRPr="00BD7FFC">
              <w:rPr>
                <w:rFonts w:ascii="Cambria" w:hAnsi="Cambria"/>
              </w:rPr>
              <w:t>4</w:t>
            </w:r>
            <w:r>
              <w:rPr>
                <w:rFonts w:ascii="Cambria" w:hAnsi="Cambria"/>
              </w:rPr>
              <w:t>1</w:t>
            </w:r>
            <w:r w:rsidRPr="00BD7FFC">
              <w:rPr>
                <w:rFonts w:ascii="Cambria" w:hAnsi="Cambria"/>
              </w:rPr>
              <w:t xml:space="preserve">% </w:t>
            </w:r>
            <w:r w:rsidRPr="00BD7FFC">
              <w:rPr>
                <w:rFonts w:ascii="Cambria" w:hAnsi="Cambria"/>
              </w:rPr>
              <w:br/>
            </w:r>
            <w:r w:rsidRPr="00BD7FFC">
              <w:rPr>
                <w:rFonts w:ascii="Cambria" w:hAnsi="Cambria"/>
                <w:sz w:val="20"/>
                <w:szCs w:val="20"/>
              </w:rPr>
              <w:t>(5</w:t>
            </w:r>
            <w:r>
              <w:rPr>
                <w:rFonts w:ascii="Cambria" w:hAnsi="Cambria"/>
                <w:sz w:val="20"/>
                <w:szCs w:val="20"/>
              </w:rPr>
              <w:t>4</w:t>
            </w:r>
            <w:r w:rsidRPr="00BD7FFC">
              <w:rPr>
                <w:rFonts w:ascii="Cambria" w:hAnsi="Cambria"/>
                <w:sz w:val="20"/>
                <w:szCs w:val="20"/>
              </w:rPr>
              <w:t>%)</w:t>
            </w:r>
          </w:p>
        </w:tc>
        <w:tc>
          <w:tcPr>
            <w:tcW w:w="1301" w:type="dxa"/>
          </w:tcPr>
          <w:p w14:paraId="72A13E4D" w14:textId="77777777" w:rsidR="005C1C20" w:rsidRPr="00751F26" w:rsidRDefault="005C1C20">
            <w:pPr>
              <w:jc w:val="center"/>
              <w:rPr>
                <w:rFonts w:asciiTheme="majorHAnsi" w:hAnsiTheme="majorHAnsi" w:cstheme="majorHAnsi"/>
                <w:highlight w:val="yellow"/>
              </w:rPr>
            </w:pPr>
            <w:r>
              <w:rPr>
                <w:rFonts w:ascii="Cambria" w:hAnsi="Cambria"/>
              </w:rPr>
              <w:t>41</w:t>
            </w:r>
            <w:r w:rsidRPr="00BD7FFC">
              <w:rPr>
                <w:rFonts w:ascii="Cambria" w:hAnsi="Cambria"/>
              </w:rPr>
              <w:t xml:space="preserve">% </w:t>
            </w:r>
            <w:r w:rsidRPr="00BD7FFC">
              <w:rPr>
                <w:rFonts w:ascii="Cambria" w:hAnsi="Cambria"/>
              </w:rPr>
              <w:br/>
            </w:r>
            <w:r w:rsidRPr="00BD7FFC">
              <w:rPr>
                <w:rFonts w:ascii="Cambria" w:hAnsi="Cambria"/>
                <w:sz w:val="20"/>
                <w:szCs w:val="20"/>
              </w:rPr>
              <w:t>(5</w:t>
            </w:r>
            <w:r>
              <w:rPr>
                <w:rFonts w:ascii="Cambria" w:hAnsi="Cambria"/>
                <w:sz w:val="20"/>
                <w:szCs w:val="20"/>
              </w:rPr>
              <w:t>4</w:t>
            </w:r>
            <w:r w:rsidRPr="00BD7FFC">
              <w:rPr>
                <w:rFonts w:ascii="Cambria" w:hAnsi="Cambria"/>
                <w:sz w:val="20"/>
                <w:szCs w:val="20"/>
              </w:rPr>
              <w:t>%)</w:t>
            </w:r>
          </w:p>
        </w:tc>
        <w:tc>
          <w:tcPr>
            <w:tcW w:w="1203" w:type="dxa"/>
          </w:tcPr>
          <w:p w14:paraId="2EE00A42" w14:textId="77777777" w:rsidR="005C1C20" w:rsidRPr="00D91978" w:rsidRDefault="005C1C20">
            <w:pPr>
              <w:jc w:val="center"/>
              <w:rPr>
                <w:rFonts w:asciiTheme="majorHAnsi" w:hAnsiTheme="majorHAnsi" w:cstheme="majorHAnsi"/>
              </w:rPr>
            </w:pPr>
            <w:r>
              <w:rPr>
                <w:rFonts w:asciiTheme="majorHAnsi" w:hAnsiTheme="majorHAnsi" w:cstheme="majorHAnsi"/>
              </w:rPr>
              <w:t>n/a</w:t>
            </w:r>
            <w:r w:rsidRPr="00D91978">
              <w:rPr>
                <w:rFonts w:asciiTheme="majorHAnsi" w:hAnsiTheme="majorHAnsi" w:cstheme="majorHAnsi"/>
              </w:rPr>
              <w:br/>
            </w:r>
            <w:r w:rsidRPr="00D91978">
              <w:rPr>
                <w:rFonts w:asciiTheme="majorHAnsi" w:hAnsiTheme="majorHAnsi" w:cstheme="majorHAnsi"/>
                <w:sz w:val="20"/>
                <w:szCs w:val="20"/>
              </w:rPr>
              <w:t>(</w:t>
            </w:r>
            <w:r>
              <w:rPr>
                <w:rFonts w:asciiTheme="majorHAnsi" w:hAnsiTheme="majorHAnsi" w:cstheme="majorHAnsi"/>
                <w:sz w:val="20"/>
                <w:szCs w:val="20"/>
              </w:rPr>
              <w:t>54</w:t>
            </w:r>
            <w:r w:rsidRPr="00D91978">
              <w:rPr>
                <w:rFonts w:asciiTheme="majorHAnsi" w:hAnsiTheme="majorHAnsi" w:cstheme="majorHAnsi"/>
                <w:sz w:val="20"/>
                <w:szCs w:val="20"/>
              </w:rPr>
              <w:t>%)</w:t>
            </w:r>
          </w:p>
        </w:tc>
        <w:tc>
          <w:tcPr>
            <w:tcW w:w="1591" w:type="dxa"/>
          </w:tcPr>
          <w:p w14:paraId="63F64A3C" w14:textId="77777777" w:rsidR="005C1C20" w:rsidRPr="00D91978" w:rsidRDefault="005C1C20">
            <w:pPr>
              <w:jc w:val="center"/>
              <w:rPr>
                <w:rFonts w:asciiTheme="majorHAnsi" w:hAnsiTheme="majorHAnsi" w:cstheme="majorHAnsi"/>
              </w:rPr>
            </w:pPr>
            <w:r>
              <w:rPr>
                <w:rFonts w:asciiTheme="majorHAnsi" w:hAnsiTheme="majorHAnsi" w:cstheme="majorHAnsi"/>
              </w:rPr>
              <w:t>17%</w:t>
            </w:r>
            <w:r w:rsidRPr="00D91978">
              <w:rPr>
                <w:rFonts w:asciiTheme="majorHAnsi" w:hAnsiTheme="majorHAnsi" w:cstheme="majorHAnsi"/>
              </w:rPr>
              <w:br/>
            </w:r>
            <w:r w:rsidRPr="00D91978">
              <w:rPr>
                <w:rFonts w:asciiTheme="majorHAnsi" w:hAnsiTheme="majorHAnsi" w:cstheme="majorHAnsi"/>
                <w:sz w:val="20"/>
                <w:szCs w:val="20"/>
              </w:rPr>
              <w:t>(</w:t>
            </w:r>
            <w:r>
              <w:rPr>
                <w:rFonts w:asciiTheme="majorHAnsi" w:hAnsiTheme="majorHAnsi" w:cstheme="majorHAnsi"/>
                <w:sz w:val="20"/>
                <w:szCs w:val="20"/>
              </w:rPr>
              <w:t>61%</w:t>
            </w:r>
            <w:r w:rsidRPr="00D91978">
              <w:rPr>
                <w:rFonts w:asciiTheme="majorHAnsi" w:hAnsiTheme="majorHAnsi" w:cstheme="majorHAnsi"/>
                <w:sz w:val="20"/>
                <w:szCs w:val="20"/>
              </w:rPr>
              <w:t>)</w:t>
            </w:r>
          </w:p>
        </w:tc>
      </w:tr>
      <w:tr w:rsidR="005C1C20" w:rsidRPr="00D91978" w14:paraId="2B623301" w14:textId="77777777">
        <w:trPr>
          <w:trHeight w:val="419"/>
        </w:trPr>
        <w:tc>
          <w:tcPr>
            <w:tcW w:w="1065" w:type="dxa"/>
          </w:tcPr>
          <w:p w14:paraId="39BAF476" w14:textId="77777777" w:rsidR="005C1C20" w:rsidRPr="00D91978" w:rsidRDefault="005C1C20">
            <w:pPr>
              <w:jc w:val="center"/>
              <w:rPr>
                <w:rFonts w:asciiTheme="majorHAnsi" w:hAnsiTheme="majorHAnsi" w:cstheme="majorHAnsi"/>
              </w:rPr>
            </w:pPr>
            <w:r w:rsidRPr="00D91978">
              <w:rPr>
                <w:rFonts w:asciiTheme="majorHAnsi" w:eastAsiaTheme="minorEastAsia" w:hAnsiTheme="majorHAnsi" w:cstheme="majorHAnsi"/>
                <w:color w:val="000000"/>
                <w:lang w:val="en-US"/>
              </w:rPr>
              <w:t>2020</w:t>
            </w:r>
          </w:p>
        </w:tc>
        <w:tc>
          <w:tcPr>
            <w:tcW w:w="996" w:type="dxa"/>
          </w:tcPr>
          <w:p w14:paraId="5441285C" w14:textId="77777777" w:rsidR="005C1C20" w:rsidRPr="00D91978" w:rsidRDefault="005C1C20">
            <w:pPr>
              <w:jc w:val="center"/>
              <w:rPr>
                <w:rFonts w:asciiTheme="majorHAnsi" w:hAnsiTheme="majorHAnsi" w:cstheme="majorHAnsi"/>
              </w:rPr>
            </w:pPr>
            <w:r>
              <w:rPr>
                <w:rFonts w:asciiTheme="majorHAnsi" w:hAnsiTheme="majorHAnsi" w:cstheme="majorHAnsi"/>
              </w:rPr>
              <w:t>91</w:t>
            </w:r>
            <w:r w:rsidRPr="00D91978">
              <w:rPr>
                <w:rFonts w:asciiTheme="majorHAnsi" w:hAnsiTheme="majorHAnsi" w:cstheme="majorHAnsi"/>
              </w:rPr>
              <w:t xml:space="preserve">% </w:t>
            </w:r>
            <w:r w:rsidRPr="00D91978">
              <w:rPr>
                <w:rFonts w:asciiTheme="majorHAnsi" w:hAnsiTheme="majorHAnsi" w:cstheme="majorHAnsi"/>
                <w:sz w:val="20"/>
                <w:szCs w:val="20"/>
              </w:rPr>
              <w:t>(</w:t>
            </w:r>
            <w:r>
              <w:rPr>
                <w:rFonts w:asciiTheme="majorHAnsi" w:hAnsiTheme="majorHAnsi" w:cstheme="majorHAnsi"/>
                <w:sz w:val="20"/>
                <w:szCs w:val="20"/>
              </w:rPr>
              <w:t>59</w:t>
            </w:r>
            <w:r w:rsidRPr="00D91978">
              <w:rPr>
                <w:rFonts w:asciiTheme="majorHAnsi" w:hAnsiTheme="majorHAnsi" w:cstheme="majorHAnsi"/>
                <w:sz w:val="20"/>
                <w:szCs w:val="20"/>
              </w:rPr>
              <w:t>%)</w:t>
            </w:r>
          </w:p>
        </w:tc>
        <w:tc>
          <w:tcPr>
            <w:tcW w:w="1516" w:type="dxa"/>
          </w:tcPr>
          <w:p w14:paraId="62B634ED" w14:textId="77777777" w:rsidR="005C1C20" w:rsidRPr="00751F26" w:rsidRDefault="005C1C20">
            <w:pPr>
              <w:jc w:val="center"/>
              <w:rPr>
                <w:rFonts w:asciiTheme="majorHAnsi" w:hAnsiTheme="majorHAnsi" w:cstheme="majorHAnsi"/>
                <w:highlight w:val="yellow"/>
              </w:rPr>
            </w:pPr>
            <w:r w:rsidRPr="00BD7FFC">
              <w:rPr>
                <w:rFonts w:ascii="Cambria" w:hAnsi="Cambria"/>
              </w:rPr>
              <w:t xml:space="preserve">42% </w:t>
            </w:r>
            <w:r w:rsidRPr="00BD7FFC">
              <w:rPr>
                <w:rFonts w:ascii="Cambria" w:hAnsi="Cambria"/>
              </w:rPr>
              <w:br/>
            </w:r>
            <w:r w:rsidRPr="00BD7FFC">
              <w:rPr>
                <w:rFonts w:ascii="Cambria" w:hAnsi="Cambria"/>
                <w:sz w:val="20"/>
                <w:szCs w:val="20"/>
              </w:rPr>
              <w:t>(5</w:t>
            </w:r>
            <w:r>
              <w:rPr>
                <w:rFonts w:ascii="Cambria" w:hAnsi="Cambria"/>
                <w:sz w:val="20"/>
                <w:szCs w:val="20"/>
              </w:rPr>
              <w:t>2</w:t>
            </w:r>
            <w:r w:rsidRPr="00BD7FFC">
              <w:rPr>
                <w:rFonts w:ascii="Cambria" w:hAnsi="Cambria"/>
                <w:sz w:val="20"/>
                <w:szCs w:val="20"/>
              </w:rPr>
              <w:t>%)</w:t>
            </w:r>
          </w:p>
        </w:tc>
        <w:tc>
          <w:tcPr>
            <w:tcW w:w="1301" w:type="dxa"/>
          </w:tcPr>
          <w:p w14:paraId="03194A55" w14:textId="77777777" w:rsidR="005C1C20" w:rsidRPr="00751F26" w:rsidRDefault="005C1C20">
            <w:pPr>
              <w:jc w:val="center"/>
              <w:rPr>
                <w:rFonts w:asciiTheme="majorHAnsi" w:eastAsiaTheme="minorEastAsia" w:hAnsiTheme="majorHAnsi" w:cstheme="majorHAnsi"/>
                <w:color w:val="000000"/>
                <w:highlight w:val="yellow"/>
                <w:lang w:val="en-US"/>
              </w:rPr>
            </w:pPr>
            <w:r>
              <w:rPr>
                <w:rFonts w:ascii="Cambria" w:hAnsi="Cambria"/>
              </w:rPr>
              <w:t>25</w:t>
            </w:r>
            <w:r w:rsidRPr="00BD7FFC">
              <w:rPr>
                <w:rFonts w:ascii="Cambria" w:hAnsi="Cambria"/>
              </w:rPr>
              <w:t xml:space="preserve">% </w:t>
            </w:r>
            <w:r w:rsidRPr="00BD7FFC">
              <w:rPr>
                <w:rFonts w:ascii="Cambria" w:hAnsi="Cambria"/>
              </w:rPr>
              <w:br/>
            </w:r>
            <w:r w:rsidRPr="00BD7FFC">
              <w:rPr>
                <w:rFonts w:ascii="Cambria" w:hAnsi="Cambria"/>
                <w:sz w:val="20"/>
                <w:szCs w:val="20"/>
              </w:rPr>
              <w:t>(5</w:t>
            </w:r>
            <w:r>
              <w:rPr>
                <w:rFonts w:ascii="Cambria" w:hAnsi="Cambria"/>
                <w:sz w:val="20"/>
                <w:szCs w:val="20"/>
              </w:rPr>
              <w:t>2</w:t>
            </w:r>
            <w:r w:rsidRPr="00BD7FFC">
              <w:rPr>
                <w:rFonts w:ascii="Cambria" w:hAnsi="Cambria"/>
                <w:sz w:val="20"/>
                <w:szCs w:val="20"/>
              </w:rPr>
              <w:t>%)</w:t>
            </w:r>
          </w:p>
        </w:tc>
        <w:tc>
          <w:tcPr>
            <w:tcW w:w="1203" w:type="dxa"/>
          </w:tcPr>
          <w:p w14:paraId="7C45575F" w14:textId="77777777" w:rsidR="005C1C20" w:rsidRPr="00D91978" w:rsidRDefault="005C1C20">
            <w:pPr>
              <w:jc w:val="center"/>
              <w:rPr>
                <w:rFonts w:asciiTheme="majorHAnsi" w:hAnsiTheme="majorHAnsi" w:cstheme="majorHAnsi"/>
              </w:rPr>
            </w:pPr>
            <w:r>
              <w:rPr>
                <w:rFonts w:asciiTheme="majorHAnsi" w:hAnsiTheme="majorHAnsi" w:cstheme="majorHAnsi"/>
              </w:rPr>
              <w:t>n/a</w:t>
            </w:r>
            <w:r w:rsidRPr="00D91978">
              <w:rPr>
                <w:rFonts w:asciiTheme="majorHAnsi" w:hAnsiTheme="majorHAnsi" w:cstheme="majorHAnsi"/>
              </w:rPr>
              <w:br/>
            </w:r>
            <w:r w:rsidRPr="00D91978">
              <w:rPr>
                <w:rFonts w:asciiTheme="majorHAnsi" w:hAnsiTheme="majorHAnsi" w:cstheme="majorHAnsi"/>
                <w:sz w:val="20"/>
                <w:szCs w:val="20"/>
              </w:rPr>
              <w:t>(</w:t>
            </w:r>
            <w:r>
              <w:rPr>
                <w:rFonts w:asciiTheme="majorHAnsi" w:hAnsiTheme="majorHAnsi" w:cstheme="majorHAnsi"/>
                <w:sz w:val="20"/>
                <w:szCs w:val="20"/>
              </w:rPr>
              <w:t>48</w:t>
            </w:r>
            <w:r w:rsidRPr="00D91978">
              <w:rPr>
                <w:rFonts w:asciiTheme="majorHAnsi" w:hAnsiTheme="majorHAnsi" w:cstheme="majorHAnsi"/>
                <w:sz w:val="20"/>
                <w:szCs w:val="20"/>
              </w:rPr>
              <w:t>%)</w:t>
            </w:r>
          </w:p>
        </w:tc>
        <w:tc>
          <w:tcPr>
            <w:tcW w:w="1591" w:type="dxa"/>
          </w:tcPr>
          <w:p w14:paraId="0B35D612" w14:textId="77777777" w:rsidR="005C1C20" w:rsidRPr="00D91978" w:rsidRDefault="005C1C20">
            <w:pPr>
              <w:jc w:val="center"/>
              <w:rPr>
                <w:rFonts w:asciiTheme="majorHAnsi" w:eastAsiaTheme="minorEastAsia" w:hAnsiTheme="majorHAnsi" w:cstheme="majorHAnsi"/>
                <w:color w:val="000000"/>
                <w:lang w:val="en-US"/>
              </w:rPr>
            </w:pPr>
            <w:r>
              <w:rPr>
                <w:rFonts w:asciiTheme="majorHAnsi" w:hAnsiTheme="majorHAnsi" w:cstheme="majorHAnsi"/>
              </w:rPr>
              <w:t>20%</w:t>
            </w:r>
            <w:r w:rsidRPr="00D91978">
              <w:rPr>
                <w:rFonts w:asciiTheme="majorHAnsi" w:hAnsiTheme="majorHAnsi" w:cstheme="majorHAnsi"/>
              </w:rPr>
              <w:br/>
            </w:r>
            <w:r w:rsidRPr="00D91978">
              <w:rPr>
                <w:rFonts w:asciiTheme="majorHAnsi" w:hAnsiTheme="majorHAnsi" w:cstheme="majorHAnsi"/>
                <w:sz w:val="20"/>
                <w:szCs w:val="20"/>
              </w:rPr>
              <w:t>(</w:t>
            </w:r>
            <w:r>
              <w:rPr>
                <w:rFonts w:asciiTheme="majorHAnsi" w:hAnsiTheme="majorHAnsi" w:cstheme="majorHAnsi"/>
                <w:sz w:val="20"/>
                <w:szCs w:val="20"/>
              </w:rPr>
              <w:t>53%</w:t>
            </w:r>
            <w:r w:rsidRPr="00D91978">
              <w:rPr>
                <w:rFonts w:asciiTheme="majorHAnsi" w:hAnsiTheme="majorHAnsi" w:cstheme="majorHAnsi"/>
                <w:sz w:val="20"/>
                <w:szCs w:val="20"/>
              </w:rPr>
              <w:t>)</w:t>
            </w:r>
          </w:p>
        </w:tc>
      </w:tr>
      <w:tr w:rsidR="005C1C20" w:rsidRPr="00D91978" w14:paraId="06469DEE" w14:textId="77777777">
        <w:trPr>
          <w:trHeight w:val="419"/>
        </w:trPr>
        <w:tc>
          <w:tcPr>
            <w:tcW w:w="1065" w:type="dxa"/>
          </w:tcPr>
          <w:p w14:paraId="714B6542" w14:textId="77777777" w:rsidR="005C1C20" w:rsidRPr="00D91978" w:rsidRDefault="005C1C20">
            <w:pPr>
              <w:jc w:val="center"/>
              <w:rPr>
                <w:rFonts w:asciiTheme="majorHAnsi" w:hAnsiTheme="majorHAnsi" w:cstheme="majorHAnsi"/>
              </w:rPr>
            </w:pPr>
            <w:r w:rsidRPr="00BD7FFC">
              <w:rPr>
                <w:rFonts w:ascii="Cambria" w:eastAsiaTheme="minorEastAsia" w:hAnsi="Cambria" w:cs="Calibri"/>
                <w:color w:val="000000"/>
                <w:lang w:val="en-US"/>
              </w:rPr>
              <w:t>2019</w:t>
            </w:r>
          </w:p>
        </w:tc>
        <w:tc>
          <w:tcPr>
            <w:tcW w:w="996" w:type="dxa"/>
          </w:tcPr>
          <w:p w14:paraId="74788225" w14:textId="77777777" w:rsidR="005C1C20" w:rsidRPr="00D91978" w:rsidRDefault="005C1C20">
            <w:pPr>
              <w:jc w:val="center"/>
              <w:rPr>
                <w:rFonts w:asciiTheme="majorHAnsi" w:hAnsiTheme="majorHAnsi" w:cstheme="majorHAnsi"/>
              </w:rPr>
            </w:pPr>
            <w:r w:rsidRPr="00BD7FFC">
              <w:rPr>
                <w:rFonts w:ascii="Cambria" w:hAnsi="Cambria"/>
              </w:rPr>
              <w:t xml:space="preserve">75% </w:t>
            </w:r>
            <w:r w:rsidRPr="00BD7FFC">
              <w:rPr>
                <w:rFonts w:ascii="Cambria" w:hAnsi="Cambria"/>
                <w:sz w:val="20"/>
                <w:szCs w:val="20"/>
              </w:rPr>
              <w:t>(62%)</w:t>
            </w:r>
          </w:p>
        </w:tc>
        <w:tc>
          <w:tcPr>
            <w:tcW w:w="1516" w:type="dxa"/>
          </w:tcPr>
          <w:p w14:paraId="4E25B84E" w14:textId="77777777" w:rsidR="005C1C20" w:rsidRPr="00751F26" w:rsidRDefault="005C1C20">
            <w:pPr>
              <w:jc w:val="center"/>
              <w:rPr>
                <w:rFonts w:asciiTheme="majorHAnsi" w:hAnsiTheme="majorHAnsi" w:cstheme="majorHAnsi"/>
                <w:highlight w:val="yellow"/>
              </w:rPr>
            </w:pPr>
            <w:r w:rsidRPr="00BD7FFC">
              <w:rPr>
                <w:rFonts w:ascii="Cambria" w:hAnsi="Cambria"/>
              </w:rPr>
              <w:t xml:space="preserve">42.86% </w:t>
            </w:r>
            <w:r w:rsidRPr="00BD7FFC">
              <w:rPr>
                <w:rFonts w:ascii="Cambria" w:hAnsi="Cambria"/>
              </w:rPr>
              <w:br/>
            </w:r>
            <w:r w:rsidRPr="00BD7FFC">
              <w:rPr>
                <w:rFonts w:ascii="Cambria" w:hAnsi="Cambria"/>
                <w:sz w:val="20"/>
                <w:szCs w:val="20"/>
              </w:rPr>
              <w:t>(54%)</w:t>
            </w:r>
          </w:p>
        </w:tc>
        <w:tc>
          <w:tcPr>
            <w:tcW w:w="1301" w:type="dxa"/>
          </w:tcPr>
          <w:p w14:paraId="181C73B6" w14:textId="77777777" w:rsidR="005C1C20" w:rsidRPr="00751F26" w:rsidRDefault="005C1C20">
            <w:pPr>
              <w:jc w:val="center"/>
              <w:rPr>
                <w:rFonts w:asciiTheme="majorHAnsi" w:eastAsiaTheme="minorEastAsia" w:hAnsiTheme="majorHAnsi" w:cstheme="majorHAnsi"/>
                <w:color w:val="000000"/>
                <w:highlight w:val="yellow"/>
                <w:lang w:val="en-US"/>
              </w:rPr>
            </w:pPr>
            <w:r w:rsidRPr="00BD7FFC">
              <w:rPr>
                <w:rFonts w:ascii="Cambria" w:hAnsi="Cambria"/>
              </w:rPr>
              <w:t>75%</w:t>
            </w:r>
            <w:r w:rsidRPr="00BD7FFC">
              <w:rPr>
                <w:rFonts w:ascii="Cambria" w:hAnsi="Cambria"/>
              </w:rPr>
              <w:br/>
            </w:r>
            <w:r w:rsidRPr="00BD7FFC">
              <w:rPr>
                <w:rFonts w:ascii="Cambria" w:hAnsi="Cambria"/>
                <w:sz w:val="20"/>
                <w:szCs w:val="20"/>
              </w:rPr>
              <w:t>(54%)</w:t>
            </w:r>
          </w:p>
        </w:tc>
        <w:tc>
          <w:tcPr>
            <w:tcW w:w="1203" w:type="dxa"/>
          </w:tcPr>
          <w:p w14:paraId="168FCBC3" w14:textId="77777777" w:rsidR="005C1C20" w:rsidRPr="00D91978" w:rsidRDefault="005C1C20">
            <w:pPr>
              <w:jc w:val="center"/>
              <w:rPr>
                <w:rFonts w:asciiTheme="majorHAnsi" w:hAnsiTheme="majorHAnsi" w:cstheme="majorHAnsi"/>
              </w:rPr>
            </w:pPr>
            <w:r w:rsidRPr="00BD7FFC">
              <w:rPr>
                <w:rFonts w:ascii="Cambria" w:hAnsi="Cambria"/>
              </w:rPr>
              <w:t>100%</w:t>
            </w:r>
            <w:r w:rsidRPr="00BD7FFC">
              <w:rPr>
                <w:rFonts w:ascii="Cambria" w:hAnsi="Cambria"/>
              </w:rPr>
              <w:br/>
            </w:r>
            <w:r w:rsidRPr="00BD7FFC">
              <w:rPr>
                <w:rFonts w:ascii="Cambria" w:hAnsi="Cambria"/>
                <w:sz w:val="20"/>
                <w:szCs w:val="20"/>
              </w:rPr>
              <w:t>(48%)</w:t>
            </w:r>
          </w:p>
        </w:tc>
        <w:tc>
          <w:tcPr>
            <w:tcW w:w="1591" w:type="dxa"/>
          </w:tcPr>
          <w:p w14:paraId="2588A59F" w14:textId="77777777" w:rsidR="005C1C20" w:rsidRPr="00D91978" w:rsidRDefault="005C1C20">
            <w:pPr>
              <w:jc w:val="center"/>
              <w:rPr>
                <w:rFonts w:asciiTheme="majorHAnsi" w:eastAsiaTheme="minorEastAsia" w:hAnsiTheme="majorHAnsi" w:cstheme="majorHAnsi"/>
                <w:color w:val="000000"/>
                <w:lang w:val="en-US"/>
              </w:rPr>
            </w:pPr>
            <w:r w:rsidRPr="00BD7FFC">
              <w:rPr>
                <w:rFonts w:ascii="Cambria" w:hAnsi="Cambria"/>
              </w:rPr>
              <w:t>25%</w:t>
            </w:r>
            <w:r w:rsidRPr="00BD7FFC">
              <w:rPr>
                <w:rFonts w:ascii="Cambria" w:hAnsi="Cambria"/>
              </w:rPr>
              <w:br/>
            </w:r>
            <w:r w:rsidRPr="00BD7FFC">
              <w:rPr>
                <w:rFonts w:ascii="Cambria" w:hAnsi="Cambria"/>
                <w:sz w:val="20"/>
                <w:szCs w:val="20"/>
              </w:rPr>
              <w:t>(48%)</w:t>
            </w:r>
          </w:p>
        </w:tc>
      </w:tr>
      <w:tr w:rsidR="005C1C20" w:rsidRPr="00D91978" w14:paraId="58AF5562" w14:textId="77777777">
        <w:trPr>
          <w:trHeight w:val="419"/>
        </w:trPr>
        <w:tc>
          <w:tcPr>
            <w:tcW w:w="1065" w:type="dxa"/>
          </w:tcPr>
          <w:p w14:paraId="5E256CC8" w14:textId="77777777" w:rsidR="005C1C20" w:rsidRPr="00D91978" w:rsidRDefault="005C1C20">
            <w:pPr>
              <w:jc w:val="center"/>
              <w:rPr>
                <w:rFonts w:asciiTheme="majorHAnsi" w:hAnsiTheme="majorHAnsi" w:cstheme="majorHAnsi"/>
              </w:rPr>
            </w:pPr>
            <w:r w:rsidRPr="00BD7FFC">
              <w:rPr>
                <w:rFonts w:ascii="Cambria" w:eastAsiaTheme="minorEastAsia" w:hAnsi="Cambria" w:cs="Calibri"/>
                <w:color w:val="000000"/>
                <w:lang w:val="en-US"/>
              </w:rPr>
              <w:t>2018</w:t>
            </w:r>
          </w:p>
        </w:tc>
        <w:tc>
          <w:tcPr>
            <w:tcW w:w="996" w:type="dxa"/>
          </w:tcPr>
          <w:p w14:paraId="5CCB0CC5" w14:textId="77777777" w:rsidR="005C1C20" w:rsidRPr="00D91978" w:rsidRDefault="005C1C20">
            <w:pPr>
              <w:jc w:val="center"/>
              <w:rPr>
                <w:rFonts w:asciiTheme="majorHAnsi" w:hAnsiTheme="majorHAnsi" w:cstheme="majorHAnsi"/>
              </w:rPr>
            </w:pPr>
            <w:r w:rsidRPr="00BD7FFC">
              <w:rPr>
                <w:rFonts w:ascii="Cambria" w:hAnsi="Cambria"/>
              </w:rPr>
              <w:t>55%</w:t>
            </w:r>
            <w:r w:rsidRPr="00BD7FFC">
              <w:rPr>
                <w:rFonts w:ascii="Cambria" w:hAnsi="Cambria"/>
              </w:rPr>
              <w:br/>
            </w:r>
            <w:r w:rsidRPr="00BD7FFC">
              <w:rPr>
                <w:rFonts w:ascii="Cambria" w:hAnsi="Cambria"/>
                <w:sz w:val="20"/>
                <w:szCs w:val="20"/>
              </w:rPr>
              <w:t>(60%)</w:t>
            </w:r>
          </w:p>
        </w:tc>
        <w:tc>
          <w:tcPr>
            <w:tcW w:w="1516" w:type="dxa"/>
          </w:tcPr>
          <w:p w14:paraId="74B5D2C8" w14:textId="77777777" w:rsidR="005C1C20" w:rsidRPr="00751F26" w:rsidRDefault="005C1C20">
            <w:pPr>
              <w:jc w:val="center"/>
              <w:rPr>
                <w:rFonts w:asciiTheme="majorHAnsi" w:hAnsiTheme="majorHAnsi" w:cstheme="majorHAnsi"/>
                <w:highlight w:val="yellow"/>
              </w:rPr>
            </w:pPr>
            <w:r w:rsidRPr="00BD7FFC">
              <w:rPr>
                <w:rFonts w:ascii="Cambria" w:hAnsi="Cambria"/>
              </w:rPr>
              <w:t>33%</w:t>
            </w:r>
            <w:r w:rsidRPr="00BD7FFC">
              <w:rPr>
                <w:rFonts w:ascii="Cambria" w:hAnsi="Cambria"/>
              </w:rPr>
              <w:br/>
            </w:r>
            <w:r w:rsidRPr="00BD7FFC">
              <w:rPr>
                <w:rFonts w:ascii="Cambria" w:hAnsi="Cambria"/>
                <w:sz w:val="20"/>
                <w:szCs w:val="20"/>
              </w:rPr>
              <w:t>(49%)</w:t>
            </w:r>
          </w:p>
        </w:tc>
        <w:tc>
          <w:tcPr>
            <w:tcW w:w="1301" w:type="dxa"/>
          </w:tcPr>
          <w:p w14:paraId="7E642E1A" w14:textId="77777777" w:rsidR="005C1C20" w:rsidRPr="00751F26" w:rsidRDefault="005C1C20">
            <w:pPr>
              <w:jc w:val="center"/>
              <w:rPr>
                <w:rFonts w:asciiTheme="majorHAnsi" w:hAnsiTheme="majorHAnsi" w:cstheme="majorHAnsi"/>
                <w:highlight w:val="yellow"/>
              </w:rPr>
            </w:pPr>
            <w:r w:rsidRPr="00BD7FFC">
              <w:rPr>
                <w:rFonts w:ascii="Cambria" w:eastAsiaTheme="minorEastAsia" w:hAnsi="Cambria" w:cs="Calibri"/>
                <w:color w:val="000000"/>
                <w:lang w:val="en-US"/>
              </w:rPr>
              <w:t>100%</w:t>
            </w:r>
            <w:r w:rsidRPr="00BD7FFC">
              <w:rPr>
                <w:rFonts w:ascii="Cambria" w:eastAsiaTheme="minorEastAsia" w:hAnsi="Cambria" w:cs="Calibri"/>
                <w:color w:val="000000"/>
                <w:lang w:val="en-US"/>
              </w:rPr>
              <w:br/>
            </w:r>
            <w:r w:rsidRPr="00BD7FFC">
              <w:rPr>
                <w:rFonts w:ascii="Cambria" w:eastAsiaTheme="minorEastAsia" w:hAnsi="Cambria" w:cs="Calibri"/>
                <w:color w:val="000000"/>
                <w:sz w:val="20"/>
                <w:szCs w:val="20"/>
                <w:lang w:val="en-US"/>
              </w:rPr>
              <w:t>(49%)</w:t>
            </w:r>
          </w:p>
        </w:tc>
        <w:tc>
          <w:tcPr>
            <w:tcW w:w="1203" w:type="dxa"/>
          </w:tcPr>
          <w:p w14:paraId="64498791" w14:textId="77777777" w:rsidR="005C1C20" w:rsidRPr="00D91978" w:rsidRDefault="005C1C20">
            <w:pPr>
              <w:jc w:val="center"/>
              <w:rPr>
                <w:rFonts w:asciiTheme="majorHAnsi" w:hAnsiTheme="majorHAnsi" w:cstheme="majorHAnsi"/>
              </w:rPr>
            </w:pPr>
            <w:r w:rsidRPr="00BD7FFC">
              <w:rPr>
                <w:rFonts w:ascii="Cambria" w:eastAsiaTheme="minorEastAsia" w:hAnsi="Cambria" w:cs="Calibri"/>
                <w:color w:val="000000"/>
                <w:lang w:val="en-US"/>
              </w:rPr>
              <w:t>100%</w:t>
            </w:r>
            <w:r w:rsidRPr="00BD7FFC">
              <w:rPr>
                <w:rFonts w:ascii="Cambria" w:eastAsiaTheme="minorEastAsia" w:hAnsi="Cambria" w:cs="Calibri"/>
                <w:color w:val="000000"/>
                <w:lang w:val="en-US"/>
              </w:rPr>
              <w:br/>
            </w:r>
            <w:r w:rsidRPr="00BD7FFC">
              <w:rPr>
                <w:rFonts w:ascii="Cambria" w:hAnsi="Cambria"/>
                <w:sz w:val="20"/>
                <w:szCs w:val="20"/>
              </w:rPr>
              <w:t>(49%)</w:t>
            </w:r>
          </w:p>
        </w:tc>
        <w:tc>
          <w:tcPr>
            <w:tcW w:w="1591" w:type="dxa"/>
          </w:tcPr>
          <w:p w14:paraId="73E2A3B5" w14:textId="77777777" w:rsidR="005C1C20" w:rsidRPr="00D91978" w:rsidRDefault="005C1C20">
            <w:pPr>
              <w:jc w:val="center"/>
              <w:rPr>
                <w:rFonts w:asciiTheme="majorHAnsi" w:eastAsiaTheme="minorEastAsia" w:hAnsiTheme="majorHAnsi" w:cstheme="majorHAnsi"/>
                <w:color w:val="000000"/>
                <w:lang w:val="en-US"/>
              </w:rPr>
            </w:pPr>
            <w:r w:rsidRPr="00BD7FFC">
              <w:rPr>
                <w:rFonts w:ascii="Cambria" w:eastAsiaTheme="minorEastAsia" w:hAnsi="Cambria" w:cs="Calibri"/>
                <w:color w:val="000000"/>
                <w:lang w:val="en-US"/>
              </w:rPr>
              <w:t>43%</w:t>
            </w:r>
            <w:r w:rsidRPr="00BD7FFC">
              <w:rPr>
                <w:rFonts w:ascii="Cambria" w:eastAsiaTheme="minorEastAsia" w:hAnsi="Cambria" w:cs="Calibri"/>
                <w:color w:val="000000"/>
                <w:lang w:val="en-US"/>
              </w:rPr>
              <w:br/>
            </w:r>
            <w:r w:rsidRPr="00BD7FFC">
              <w:rPr>
                <w:rFonts w:ascii="Cambria" w:eastAsiaTheme="minorEastAsia" w:hAnsi="Cambria" w:cs="Calibri"/>
                <w:color w:val="000000"/>
                <w:sz w:val="20"/>
                <w:szCs w:val="20"/>
                <w:lang w:val="en-US"/>
              </w:rPr>
              <w:t>(59%)</w:t>
            </w:r>
          </w:p>
        </w:tc>
      </w:tr>
      <w:tr w:rsidR="005C1C20" w:rsidRPr="00D91978" w14:paraId="41883B6D" w14:textId="77777777">
        <w:trPr>
          <w:trHeight w:val="430"/>
        </w:trPr>
        <w:tc>
          <w:tcPr>
            <w:tcW w:w="1065" w:type="dxa"/>
          </w:tcPr>
          <w:p w14:paraId="596B698A" w14:textId="77777777" w:rsidR="005C1C20" w:rsidRPr="00D91978" w:rsidRDefault="005C1C20">
            <w:pPr>
              <w:jc w:val="center"/>
              <w:rPr>
                <w:rFonts w:asciiTheme="majorHAnsi" w:hAnsiTheme="majorHAnsi" w:cstheme="majorHAnsi"/>
              </w:rPr>
            </w:pPr>
            <w:r w:rsidRPr="00BD7FFC">
              <w:rPr>
                <w:rFonts w:ascii="Cambria" w:eastAsiaTheme="minorEastAsia" w:hAnsi="Cambria" w:cs="Calibri"/>
                <w:color w:val="000000"/>
                <w:lang w:val="en-US"/>
              </w:rPr>
              <w:t>2017</w:t>
            </w:r>
          </w:p>
        </w:tc>
        <w:tc>
          <w:tcPr>
            <w:tcW w:w="996" w:type="dxa"/>
          </w:tcPr>
          <w:p w14:paraId="08BCC447" w14:textId="77777777" w:rsidR="005C1C20" w:rsidRPr="00D91978" w:rsidRDefault="005C1C20">
            <w:pPr>
              <w:jc w:val="center"/>
              <w:rPr>
                <w:rFonts w:asciiTheme="majorHAnsi" w:eastAsiaTheme="minorEastAsia" w:hAnsiTheme="majorHAnsi" w:cstheme="majorHAnsi"/>
                <w:color w:val="000000"/>
                <w:lang w:val="en-US"/>
              </w:rPr>
            </w:pPr>
            <w:r w:rsidRPr="00BD7FFC">
              <w:rPr>
                <w:rFonts w:ascii="Cambria" w:hAnsi="Cambria"/>
              </w:rPr>
              <w:t>81%</w:t>
            </w:r>
            <w:r w:rsidRPr="00BD7FFC">
              <w:rPr>
                <w:rFonts w:ascii="Cambria" w:hAnsi="Cambria"/>
              </w:rPr>
              <w:br/>
            </w:r>
            <w:r w:rsidRPr="00BD7FFC">
              <w:rPr>
                <w:rFonts w:ascii="Cambria" w:hAnsi="Cambria"/>
                <w:sz w:val="20"/>
                <w:szCs w:val="20"/>
              </w:rPr>
              <w:t>(63%)</w:t>
            </w:r>
          </w:p>
        </w:tc>
        <w:tc>
          <w:tcPr>
            <w:tcW w:w="1516" w:type="dxa"/>
          </w:tcPr>
          <w:p w14:paraId="4CC295E8" w14:textId="77777777" w:rsidR="005C1C20" w:rsidRPr="00751F26" w:rsidRDefault="005C1C20">
            <w:pPr>
              <w:jc w:val="center"/>
              <w:rPr>
                <w:rFonts w:asciiTheme="majorHAnsi" w:hAnsiTheme="majorHAnsi" w:cstheme="majorHAnsi"/>
                <w:highlight w:val="yellow"/>
              </w:rPr>
            </w:pPr>
            <w:r w:rsidRPr="00BD7FFC">
              <w:rPr>
                <w:rFonts w:ascii="Cambria" w:eastAsiaTheme="minorEastAsia" w:hAnsi="Cambria" w:cs="Calibri"/>
                <w:color w:val="000000"/>
                <w:lang w:val="en-US"/>
              </w:rPr>
              <w:t>67%</w:t>
            </w:r>
            <w:r w:rsidRPr="00BD7FFC">
              <w:rPr>
                <w:rFonts w:ascii="Cambria" w:eastAsiaTheme="minorEastAsia" w:hAnsi="Cambria" w:cs="Calibri"/>
                <w:color w:val="000000"/>
                <w:lang w:val="en-US"/>
              </w:rPr>
              <w:br/>
            </w:r>
            <w:r w:rsidRPr="00BD7FFC">
              <w:rPr>
                <w:rFonts w:ascii="Cambria" w:hAnsi="Cambria" w:cs="Calibri"/>
                <w:color w:val="000000"/>
                <w:sz w:val="20"/>
                <w:szCs w:val="20"/>
              </w:rPr>
              <w:t>(55%)</w:t>
            </w:r>
          </w:p>
        </w:tc>
        <w:tc>
          <w:tcPr>
            <w:tcW w:w="1301" w:type="dxa"/>
          </w:tcPr>
          <w:p w14:paraId="5FFDD55F" w14:textId="77777777" w:rsidR="005C1C20" w:rsidRPr="00751F26" w:rsidRDefault="005C1C20">
            <w:pPr>
              <w:jc w:val="center"/>
              <w:rPr>
                <w:rFonts w:asciiTheme="majorHAnsi" w:hAnsiTheme="majorHAnsi" w:cstheme="majorHAnsi"/>
                <w:highlight w:val="yellow"/>
              </w:rPr>
            </w:pPr>
            <w:r w:rsidRPr="00BD7FFC">
              <w:rPr>
                <w:rFonts w:ascii="Cambria" w:eastAsiaTheme="minorEastAsia" w:hAnsi="Cambria" w:cs="Calibri"/>
                <w:color w:val="000000"/>
                <w:lang w:val="en-US"/>
              </w:rPr>
              <w:t>100%</w:t>
            </w:r>
            <w:r w:rsidRPr="00BD7FFC">
              <w:rPr>
                <w:rFonts w:ascii="Cambria" w:eastAsiaTheme="minorEastAsia" w:hAnsi="Cambria" w:cs="Calibri"/>
                <w:color w:val="000000"/>
                <w:lang w:val="en-US"/>
              </w:rPr>
              <w:br/>
            </w:r>
            <w:r w:rsidRPr="00BD7FFC">
              <w:rPr>
                <w:rFonts w:ascii="Cambria" w:hAnsi="Cambria" w:cs="Calibri"/>
                <w:color w:val="000000"/>
                <w:sz w:val="20"/>
                <w:szCs w:val="20"/>
              </w:rPr>
              <w:t>(54%)</w:t>
            </w:r>
          </w:p>
        </w:tc>
        <w:tc>
          <w:tcPr>
            <w:tcW w:w="1203" w:type="dxa"/>
          </w:tcPr>
          <w:p w14:paraId="27EF9387" w14:textId="77777777" w:rsidR="005C1C20" w:rsidRPr="00D91978" w:rsidRDefault="005C1C20">
            <w:pPr>
              <w:jc w:val="center"/>
              <w:rPr>
                <w:rFonts w:asciiTheme="majorHAnsi" w:hAnsiTheme="majorHAnsi" w:cstheme="majorHAnsi"/>
              </w:rPr>
            </w:pPr>
            <w:r w:rsidRPr="00BD7FFC">
              <w:rPr>
                <w:rFonts w:ascii="Cambria" w:eastAsiaTheme="minorEastAsia" w:hAnsi="Cambria" w:cs="Calibri"/>
                <w:color w:val="000000"/>
                <w:lang w:val="en-US"/>
              </w:rPr>
              <w:t>67%</w:t>
            </w:r>
            <w:r w:rsidRPr="00BD7FFC">
              <w:rPr>
                <w:rFonts w:ascii="Cambria" w:eastAsiaTheme="minorEastAsia" w:hAnsi="Cambria" w:cs="Calibri"/>
                <w:color w:val="000000"/>
                <w:lang w:val="en-US"/>
              </w:rPr>
              <w:br/>
            </w:r>
            <w:r w:rsidRPr="00BD7FFC">
              <w:rPr>
                <w:rFonts w:ascii="Cambria" w:hAnsi="Cambria"/>
                <w:sz w:val="20"/>
                <w:szCs w:val="20"/>
              </w:rPr>
              <w:t>(54%)</w:t>
            </w:r>
          </w:p>
        </w:tc>
        <w:tc>
          <w:tcPr>
            <w:tcW w:w="1591" w:type="dxa"/>
          </w:tcPr>
          <w:p w14:paraId="2CFB58BE" w14:textId="77777777" w:rsidR="005C1C20" w:rsidRPr="00D91978" w:rsidRDefault="005C1C20">
            <w:pPr>
              <w:jc w:val="center"/>
              <w:rPr>
                <w:rFonts w:asciiTheme="majorHAnsi" w:hAnsiTheme="majorHAnsi" w:cstheme="majorHAnsi"/>
              </w:rPr>
            </w:pPr>
            <w:r w:rsidRPr="00BD7FFC">
              <w:rPr>
                <w:rFonts w:ascii="Cambria" w:eastAsiaTheme="minorEastAsia" w:hAnsi="Cambria" w:cs="Calibri"/>
                <w:color w:val="000000"/>
                <w:lang w:val="en-US"/>
              </w:rPr>
              <w:t>22%</w:t>
            </w:r>
            <w:r w:rsidRPr="00BD7FFC">
              <w:rPr>
                <w:rFonts w:ascii="Cambria" w:eastAsiaTheme="minorEastAsia" w:hAnsi="Cambria" w:cs="Calibri"/>
                <w:color w:val="000000"/>
                <w:lang w:val="en-US"/>
              </w:rPr>
              <w:br/>
            </w:r>
            <w:r w:rsidRPr="00BD7FFC">
              <w:rPr>
                <w:rFonts w:ascii="Cambria" w:eastAsiaTheme="minorEastAsia" w:hAnsi="Cambria" w:cs="Calibri"/>
                <w:color w:val="000000"/>
                <w:sz w:val="20"/>
                <w:szCs w:val="20"/>
                <w:lang w:val="en-US"/>
              </w:rPr>
              <w:t>(54%)</w:t>
            </w:r>
          </w:p>
        </w:tc>
      </w:tr>
    </w:tbl>
    <w:p w14:paraId="225CAC9A" w14:textId="77777777" w:rsidR="005C1C20" w:rsidRDefault="005C1C20" w:rsidP="005C1C20">
      <w:pPr>
        <w:spacing w:after="0"/>
        <w:ind w:firstLine="720"/>
        <w:rPr>
          <w:rFonts w:asciiTheme="majorHAnsi" w:hAnsiTheme="majorHAnsi" w:cstheme="majorHAnsi"/>
          <w:sz w:val="20"/>
          <w:szCs w:val="20"/>
        </w:rPr>
      </w:pPr>
      <w:r w:rsidRPr="00D91978">
        <w:rPr>
          <w:rFonts w:asciiTheme="majorHAnsi" w:hAnsiTheme="majorHAnsi" w:cstheme="majorHAnsi"/>
          <w:sz w:val="20"/>
          <w:szCs w:val="20"/>
        </w:rPr>
        <w:t xml:space="preserve">* definition and data from </w:t>
      </w:r>
      <w:r w:rsidRPr="00D91978">
        <w:rPr>
          <w:rFonts w:asciiTheme="majorHAnsi" w:hAnsiTheme="majorHAnsi" w:cstheme="majorHAnsi"/>
          <w:i/>
          <w:sz w:val="20"/>
          <w:szCs w:val="20"/>
        </w:rPr>
        <w:t>Strategic Information Reports</w:t>
      </w:r>
      <w:r w:rsidRPr="00D91978">
        <w:rPr>
          <w:rFonts w:asciiTheme="majorHAnsi" w:hAnsiTheme="majorHAnsi" w:cstheme="majorHAnsi"/>
          <w:sz w:val="20"/>
          <w:szCs w:val="20"/>
        </w:rPr>
        <w:t>, provided annually by ATS.</w:t>
      </w:r>
    </w:p>
    <w:p w14:paraId="585647EA" w14:textId="77777777" w:rsidR="005C1C20" w:rsidRDefault="005C1C20" w:rsidP="005C1C20">
      <w:pPr>
        <w:spacing w:after="0"/>
        <w:ind w:firstLine="720"/>
        <w:rPr>
          <w:rFonts w:asciiTheme="majorHAnsi" w:hAnsiTheme="majorHAnsi" w:cstheme="majorHAnsi"/>
          <w:sz w:val="20"/>
          <w:szCs w:val="20"/>
        </w:rPr>
      </w:pPr>
    </w:p>
    <w:p w14:paraId="236B0A1D" w14:textId="14AFAC9C" w:rsidR="005C1C20" w:rsidRPr="002E51C3" w:rsidRDefault="005C1C20" w:rsidP="005C1C20">
      <w:pPr>
        <w:rPr>
          <w:rFonts w:asciiTheme="majorHAnsi" w:hAnsiTheme="majorHAnsi" w:cstheme="majorHAnsi"/>
        </w:rPr>
      </w:pPr>
      <w:r>
        <w:rPr>
          <w:rFonts w:asciiTheme="majorHAnsi" w:hAnsiTheme="majorHAnsi" w:cstheme="majorHAnsi"/>
          <w:b/>
        </w:rPr>
        <w:t>3</w:t>
      </w:r>
      <w:r w:rsidRPr="00B342EC">
        <w:rPr>
          <w:rFonts w:asciiTheme="majorHAnsi" w:hAnsiTheme="majorHAnsi" w:cstheme="majorHAnsi"/>
          <w:b/>
        </w:rPr>
        <w:t>.</w:t>
      </w:r>
      <w:r>
        <w:rPr>
          <w:rFonts w:asciiTheme="majorHAnsi" w:hAnsiTheme="majorHAnsi" w:cstheme="majorHAnsi"/>
          <w:b/>
        </w:rPr>
        <w:t>2</w:t>
      </w:r>
      <w:r w:rsidRPr="00B342EC">
        <w:rPr>
          <w:rFonts w:asciiTheme="majorHAnsi" w:hAnsiTheme="majorHAnsi" w:cstheme="majorHAnsi"/>
          <w:b/>
        </w:rPr>
        <w:t xml:space="preserve"> Placement Rates</w:t>
      </w:r>
      <w:r w:rsidRPr="00B342EC">
        <w:rPr>
          <w:rFonts w:asciiTheme="majorHAnsi" w:hAnsiTheme="majorHAnsi" w:cstheme="majorHAnsi"/>
          <w:b/>
        </w:rPr>
        <w:br/>
      </w:r>
      <w:r w:rsidRPr="00B342EC">
        <w:rPr>
          <w:rFonts w:asciiTheme="majorHAnsi" w:hAnsiTheme="majorHAnsi" w:cstheme="majorHAnsi"/>
        </w:rPr>
        <w:t xml:space="preserve">Emmanuel College’s placement rate </w:t>
      </w:r>
      <w:r>
        <w:rPr>
          <w:rFonts w:asciiTheme="majorHAnsi" w:hAnsiTheme="majorHAnsi" w:cstheme="majorHAnsi"/>
        </w:rPr>
        <w:t>has been</w:t>
      </w:r>
      <w:r w:rsidRPr="00B342EC">
        <w:rPr>
          <w:rFonts w:asciiTheme="majorHAnsi" w:hAnsiTheme="majorHAnsi" w:cstheme="majorHAnsi"/>
        </w:rPr>
        <w:t xml:space="preserve"> excellent compared to other schools</w:t>
      </w:r>
      <w:r>
        <w:rPr>
          <w:rFonts w:asciiTheme="majorHAnsi" w:hAnsiTheme="majorHAnsi" w:cstheme="majorHAnsi"/>
        </w:rPr>
        <w:t xml:space="preserve">, though </w:t>
      </w:r>
      <w:r w:rsidR="00CE6A03">
        <w:rPr>
          <w:rFonts w:asciiTheme="majorHAnsi" w:hAnsiTheme="majorHAnsi" w:cstheme="majorHAnsi"/>
        </w:rPr>
        <w:t>in the last 2 years, the placement rate appears</w:t>
      </w:r>
      <w:r>
        <w:rPr>
          <w:rFonts w:asciiTheme="majorHAnsi" w:hAnsiTheme="majorHAnsi" w:cstheme="majorHAnsi"/>
        </w:rPr>
        <w:t xml:space="preserve"> to have been</w:t>
      </w:r>
      <w:r w:rsidR="000A5717">
        <w:rPr>
          <w:rFonts w:asciiTheme="majorHAnsi" w:hAnsiTheme="majorHAnsi" w:cstheme="majorHAnsi"/>
        </w:rPr>
        <w:t xml:space="preserve"> </w:t>
      </w:r>
      <w:r>
        <w:rPr>
          <w:rFonts w:asciiTheme="majorHAnsi" w:hAnsiTheme="majorHAnsi" w:cstheme="majorHAnsi"/>
        </w:rPr>
        <w:t>affected by the pandemic.</w:t>
      </w:r>
      <w:r w:rsidRPr="00B342EC">
        <w:rPr>
          <w:rFonts w:asciiTheme="majorHAnsi" w:hAnsiTheme="majorHAnsi" w:cstheme="majorHAnsi"/>
        </w:rPr>
        <w:t xml:space="preserve"> The placement rate is defined as the percentage of graduates that receive a vocational/professional placement within one year of graduation.*  </w:t>
      </w:r>
    </w:p>
    <w:tbl>
      <w:tblPr>
        <w:tblStyle w:val="TableGrid"/>
        <w:tblW w:w="0" w:type="auto"/>
        <w:jc w:val="center"/>
        <w:tblLook w:val="04A0" w:firstRow="1" w:lastRow="0" w:firstColumn="1" w:lastColumn="0" w:noHBand="0" w:noVBand="1"/>
      </w:tblPr>
      <w:tblGrid>
        <w:gridCol w:w="1383"/>
        <w:gridCol w:w="2440"/>
        <w:gridCol w:w="2409"/>
      </w:tblGrid>
      <w:tr w:rsidR="005C1C20" w:rsidRPr="00FA2518" w14:paraId="42E3DCB9" w14:textId="77777777">
        <w:trPr>
          <w:jc w:val="center"/>
        </w:trPr>
        <w:tc>
          <w:tcPr>
            <w:tcW w:w="1383" w:type="dxa"/>
            <w:tcBorders>
              <w:bottom w:val="single" w:sz="4" w:space="0" w:color="auto"/>
            </w:tcBorders>
          </w:tcPr>
          <w:p w14:paraId="5C6FB8E0" w14:textId="77777777" w:rsidR="005C1C20" w:rsidRPr="00B342EC" w:rsidRDefault="005C1C20">
            <w:pPr>
              <w:jc w:val="center"/>
              <w:rPr>
                <w:rFonts w:asciiTheme="majorHAnsi" w:hAnsiTheme="majorHAnsi" w:cstheme="majorHAnsi"/>
              </w:rPr>
            </w:pPr>
          </w:p>
          <w:p w14:paraId="45145383" w14:textId="77777777" w:rsidR="005C1C20" w:rsidRPr="00B342EC" w:rsidRDefault="005C1C20">
            <w:pPr>
              <w:rPr>
                <w:rFonts w:asciiTheme="majorHAnsi" w:hAnsiTheme="majorHAnsi" w:cstheme="majorHAnsi"/>
                <w:i/>
                <w:iCs/>
              </w:rPr>
            </w:pPr>
          </w:p>
        </w:tc>
        <w:tc>
          <w:tcPr>
            <w:tcW w:w="2440" w:type="dxa"/>
          </w:tcPr>
          <w:p w14:paraId="37D49A90" w14:textId="77777777" w:rsidR="005C1C20" w:rsidRPr="00B342EC" w:rsidRDefault="005C1C20">
            <w:pPr>
              <w:jc w:val="center"/>
              <w:rPr>
                <w:rFonts w:asciiTheme="majorHAnsi" w:hAnsiTheme="majorHAnsi" w:cstheme="majorHAnsi"/>
                <w:b/>
                <w:bCs/>
                <w:i/>
                <w:iCs/>
              </w:rPr>
            </w:pPr>
            <w:r w:rsidRPr="00B342EC">
              <w:rPr>
                <w:rFonts w:asciiTheme="majorHAnsi" w:hAnsiTheme="majorHAnsi" w:cstheme="majorHAnsi"/>
                <w:b/>
                <w:bCs/>
              </w:rPr>
              <w:t>Emmanuel College</w:t>
            </w:r>
            <w:r w:rsidRPr="00B342EC">
              <w:rPr>
                <w:rFonts w:asciiTheme="majorHAnsi" w:hAnsiTheme="majorHAnsi" w:cstheme="majorHAnsi"/>
                <w:b/>
                <w:bCs/>
              </w:rPr>
              <w:br/>
              <w:t>placement rate</w:t>
            </w:r>
            <w:r w:rsidRPr="00B342EC">
              <w:rPr>
                <w:rFonts w:asciiTheme="majorHAnsi" w:hAnsiTheme="majorHAnsi" w:cstheme="majorHAnsi"/>
                <w:b/>
                <w:bCs/>
              </w:rPr>
              <w:br/>
            </w:r>
            <w:r w:rsidRPr="00B342EC">
              <w:rPr>
                <w:rFonts w:asciiTheme="majorHAnsi" w:hAnsiTheme="majorHAnsi" w:cstheme="majorHAnsi"/>
                <w:b/>
                <w:bCs/>
                <w:i/>
                <w:iCs/>
              </w:rPr>
              <w:t>(all programs)</w:t>
            </w:r>
          </w:p>
        </w:tc>
        <w:tc>
          <w:tcPr>
            <w:tcW w:w="2409" w:type="dxa"/>
          </w:tcPr>
          <w:p w14:paraId="723A5536" w14:textId="77777777" w:rsidR="005C1C20" w:rsidRPr="00B342EC" w:rsidRDefault="005C1C20">
            <w:pPr>
              <w:jc w:val="center"/>
              <w:rPr>
                <w:rFonts w:asciiTheme="majorHAnsi" w:hAnsiTheme="majorHAnsi" w:cstheme="majorHAnsi"/>
              </w:rPr>
            </w:pPr>
            <w:r w:rsidRPr="00B342EC">
              <w:rPr>
                <w:rFonts w:asciiTheme="majorHAnsi" w:hAnsiTheme="majorHAnsi" w:cstheme="majorHAnsi"/>
              </w:rPr>
              <w:t>Average placement rate</w:t>
            </w:r>
            <w:r w:rsidRPr="00B342EC">
              <w:rPr>
                <w:rFonts w:asciiTheme="majorHAnsi" w:hAnsiTheme="majorHAnsi" w:cstheme="majorHAnsi"/>
              </w:rPr>
              <w:br/>
              <w:t>of all other ATS schools</w:t>
            </w:r>
            <w:r w:rsidRPr="00B342EC">
              <w:rPr>
                <w:rFonts w:asciiTheme="majorHAnsi" w:hAnsiTheme="majorHAnsi" w:cstheme="majorHAnsi"/>
              </w:rPr>
              <w:br/>
            </w:r>
            <w:r w:rsidRPr="00B342EC">
              <w:rPr>
                <w:rFonts w:asciiTheme="majorHAnsi" w:hAnsiTheme="majorHAnsi" w:cstheme="majorHAnsi"/>
                <w:i/>
                <w:iCs/>
              </w:rPr>
              <w:t>(all programs)</w:t>
            </w:r>
          </w:p>
        </w:tc>
      </w:tr>
      <w:tr w:rsidR="005C1C20" w:rsidRPr="00FA2518" w14:paraId="266D2509" w14:textId="77777777">
        <w:trPr>
          <w:jc w:val="center"/>
        </w:trPr>
        <w:tc>
          <w:tcPr>
            <w:tcW w:w="1383" w:type="dxa"/>
          </w:tcPr>
          <w:p w14:paraId="11148BEE" w14:textId="4359C023" w:rsidR="00F045CD" w:rsidRDefault="00F045CD">
            <w:pPr>
              <w:pStyle w:val="ListParagraph"/>
              <w:jc w:val="center"/>
              <w:rPr>
                <w:rFonts w:asciiTheme="majorHAnsi" w:hAnsiTheme="majorHAnsi" w:cstheme="majorHAnsi"/>
              </w:rPr>
            </w:pPr>
            <w:r>
              <w:rPr>
                <w:rFonts w:asciiTheme="majorHAnsi" w:hAnsiTheme="majorHAnsi" w:cstheme="majorHAnsi"/>
              </w:rPr>
              <w:t>2022</w:t>
            </w:r>
          </w:p>
          <w:p w14:paraId="3A977275" w14:textId="0936A996" w:rsidR="005C1C20" w:rsidRDefault="005C1C20">
            <w:pPr>
              <w:pStyle w:val="ListParagraph"/>
              <w:jc w:val="center"/>
              <w:rPr>
                <w:rFonts w:asciiTheme="majorHAnsi" w:hAnsiTheme="majorHAnsi" w:cstheme="majorHAnsi"/>
              </w:rPr>
            </w:pPr>
            <w:r>
              <w:rPr>
                <w:rFonts w:asciiTheme="majorHAnsi" w:hAnsiTheme="majorHAnsi" w:cstheme="majorHAnsi"/>
              </w:rPr>
              <w:t>2021</w:t>
            </w:r>
          </w:p>
          <w:p w14:paraId="5F0ED6C2" w14:textId="77777777" w:rsidR="005C1C20" w:rsidRPr="002F5879" w:rsidRDefault="005C1C20">
            <w:pPr>
              <w:pStyle w:val="ListParagraph"/>
              <w:jc w:val="center"/>
              <w:rPr>
                <w:rFonts w:asciiTheme="majorHAnsi" w:hAnsiTheme="majorHAnsi" w:cstheme="majorHAnsi"/>
              </w:rPr>
            </w:pPr>
            <w:r w:rsidRPr="002F5879">
              <w:rPr>
                <w:rFonts w:asciiTheme="majorHAnsi" w:hAnsiTheme="majorHAnsi" w:cstheme="majorHAnsi"/>
              </w:rPr>
              <w:t>2020</w:t>
            </w:r>
          </w:p>
          <w:p w14:paraId="5751ABAA" w14:textId="218EE72E" w:rsidR="005C1C20" w:rsidRPr="002F5879" w:rsidRDefault="005C1C20">
            <w:pPr>
              <w:pStyle w:val="ListParagraph"/>
              <w:jc w:val="center"/>
              <w:rPr>
                <w:rFonts w:asciiTheme="majorHAnsi" w:hAnsiTheme="majorHAnsi" w:cstheme="majorHAnsi"/>
              </w:rPr>
            </w:pPr>
            <w:r w:rsidRPr="002F5879">
              <w:rPr>
                <w:rFonts w:asciiTheme="majorHAnsi" w:hAnsiTheme="majorHAnsi" w:cstheme="majorHAnsi"/>
              </w:rPr>
              <w:t>2019</w:t>
            </w:r>
            <w:r w:rsidRPr="002F5879">
              <w:rPr>
                <w:rFonts w:asciiTheme="majorHAnsi" w:hAnsiTheme="majorHAnsi" w:cstheme="majorHAnsi"/>
              </w:rPr>
              <w:br/>
              <w:t>2018</w:t>
            </w:r>
            <w:r w:rsidRPr="002F5879">
              <w:rPr>
                <w:rFonts w:asciiTheme="majorHAnsi" w:hAnsiTheme="majorHAnsi" w:cstheme="majorHAnsi"/>
              </w:rPr>
              <w:br/>
              <w:t>2017</w:t>
            </w:r>
          </w:p>
        </w:tc>
        <w:tc>
          <w:tcPr>
            <w:tcW w:w="2440" w:type="dxa"/>
          </w:tcPr>
          <w:p w14:paraId="70AA27DE" w14:textId="3260F738" w:rsidR="00F045CD" w:rsidRDefault="00F045CD">
            <w:pPr>
              <w:pStyle w:val="ListParagraph"/>
              <w:jc w:val="center"/>
              <w:rPr>
                <w:rFonts w:asciiTheme="majorHAnsi" w:hAnsiTheme="majorHAnsi" w:cstheme="majorHAnsi"/>
                <w:b/>
                <w:bCs/>
              </w:rPr>
            </w:pPr>
            <w:r>
              <w:rPr>
                <w:rFonts w:asciiTheme="majorHAnsi" w:hAnsiTheme="majorHAnsi" w:cstheme="majorHAnsi"/>
                <w:b/>
                <w:bCs/>
              </w:rPr>
              <w:t>79%</w:t>
            </w:r>
          </w:p>
          <w:p w14:paraId="733374C4" w14:textId="5C48D1EC" w:rsidR="005C1C20" w:rsidRDefault="005C1C20">
            <w:pPr>
              <w:pStyle w:val="ListParagraph"/>
              <w:jc w:val="center"/>
              <w:rPr>
                <w:rFonts w:asciiTheme="majorHAnsi" w:hAnsiTheme="majorHAnsi" w:cstheme="majorHAnsi"/>
                <w:b/>
                <w:bCs/>
              </w:rPr>
            </w:pPr>
            <w:r>
              <w:rPr>
                <w:rFonts w:asciiTheme="majorHAnsi" w:hAnsiTheme="majorHAnsi" w:cstheme="majorHAnsi"/>
                <w:b/>
                <w:bCs/>
              </w:rPr>
              <w:t>72%</w:t>
            </w:r>
          </w:p>
          <w:p w14:paraId="18138582" w14:textId="77777777" w:rsidR="005C1C20" w:rsidRPr="002F5879" w:rsidRDefault="005C1C20">
            <w:pPr>
              <w:pStyle w:val="ListParagraph"/>
              <w:jc w:val="center"/>
              <w:rPr>
                <w:rFonts w:asciiTheme="majorHAnsi" w:hAnsiTheme="majorHAnsi" w:cstheme="majorHAnsi"/>
                <w:b/>
                <w:bCs/>
              </w:rPr>
            </w:pPr>
            <w:r w:rsidRPr="002F5879">
              <w:rPr>
                <w:rFonts w:asciiTheme="majorHAnsi" w:hAnsiTheme="majorHAnsi" w:cstheme="majorHAnsi"/>
                <w:b/>
                <w:bCs/>
              </w:rPr>
              <w:t>87%</w:t>
            </w:r>
          </w:p>
          <w:p w14:paraId="3FF57AE8" w14:textId="77777777" w:rsidR="005C1C20" w:rsidRPr="002F5879" w:rsidRDefault="005C1C20">
            <w:pPr>
              <w:pStyle w:val="ListParagraph"/>
              <w:jc w:val="center"/>
              <w:rPr>
                <w:rFonts w:asciiTheme="majorHAnsi" w:hAnsiTheme="majorHAnsi" w:cstheme="majorHAnsi"/>
                <w:b/>
                <w:bCs/>
              </w:rPr>
            </w:pPr>
            <w:r w:rsidRPr="002F5879">
              <w:rPr>
                <w:rFonts w:asciiTheme="majorHAnsi" w:hAnsiTheme="majorHAnsi" w:cstheme="majorHAnsi"/>
                <w:b/>
                <w:bCs/>
              </w:rPr>
              <w:t>93%</w:t>
            </w:r>
            <w:r w:rsidRPr="002F5879">
              <w:rPr>
                <w:rFonts w:asciiTheme="majorHAnsi" w:hAnsiTheme="majorHAnsi" w:cstheme="majorHAnsi"/>
                <w:b/>
                <w:bCs/>
              </w:rPr>
              <w:br/>
              <w:t>97%</w:t>
            </w:r>
            <w:r w:rsidRPr="002F5879">
              <w:rPr>
                <w:rFonts w:asciiTheme="majorHAnsi" w:hAnsiTheme="majorHAnsi" w:cstheme="majorHAnsi"/>
                <w:b/>
                <w:bCs/>
              </w:rPr>
              <w:br/>
              <w:t>96%</w:t>
            </w:r>
          </w:p>
        </w:tc>
        <w:tc>
          <w:tcPr>
            <w:tcW w:w="2409" w:type="dxa"/>
          </w:tcPr>
          <w:p w14:paraId="0532FEA2" w14:textId="1D629152" w:rsidR="00F045CD" w:rsidRDefault="00F045CD">
            <w:pPr>
              <w:pStyle w:val="ListParagraph"/>
              <w:jc w:val="center"/>
              <w:rPr>
                <w:rFonts w:asciiTheme="majorHAnsi" w:hAnsiTheme="majorHAnsi" w:cstheme="majorHAnsi"/>
              </w:rPr>
            </w:pPr>
            <w:r>
              <w:rPr>
                <w:rFonts w:asciiTheme="majorHAnsi" w:hAnsiTheme="majorHAnsi" w:cstheme="majorHAnsi"/>
              </w:rPr>
              <w:t>91%</w:t>
            </w:r>
          </w:p>
          <w:p w14:paraId="4778F657" w14:textId="4AC86762" w:rsidR="005C1C20" w:rsidRDefault="005C1C20">
            <w:pPr>
              <w:pStyle w:val="ListParagraph"/>
              <w:jc w:val="center"/>
              <w:rPr>
                <w:rFonts w:asciiTheme="majorHAnsi" w:hAnsiTheme="majorHAnsi" w:cstheme="majorHAnsi"/>
              </w:rPr>
            </w:pPr>
            <w:r>
              <w:rPr>
                <w:rFonts w:asciiTheme="majorHAnsi" w:hAnsiTheme="majorHAnsi" w:cstheme="majorHAnsi"/>
              </w:rPr>
              <w:t>90%</w:t>
            </w:r>
          </w:p>
          <w:p w14:paraId="068F3C34" w14:textId="77777777" w:rsidR="005C1C20" w:rsidRPr="002F5879" w:rsidRDefault="005C1C20">
            <w:pPr>
              <w:pStyle w:val="ListParagraph"/>
              <w:jc w:val="center"/>
              <w:rPr>
                <w:rFonts w:asciiTheme="majorHAnsi" w:hAnsiTheme="majorHAnsi" w:cstheme="majorHAnsi"/>
              </w:rPr>
            </w:pPr>
            <w:r w:rsidRPr="002F5879">
              <w:rPr>
                <w:rFonts w:asciiTheme="majorHAnsi" w:hAnsiTheme="majorHAnsi" w:cstheme="majorHAnsi"/>
              </w:rPr>
              <w:t>74%</w:t>
            </w:r>
          </w:p>
          <w:p w14:paraId="40054D24" w14:textId="77777777" w:rsidR="005C1C20" w:rsidRPr="002F5879" w:rsidRDefault="005C1C20">
            <w:pPr>
              <w:pStyle w:val="ListParagraph"/>
              <w:jc w:val="center"/>
              <w:rPr>
                <w:rFonts w:asciiTheme="majorHAnsi" w:hAnsiTheme="majorHAnsi" w:cstheme="majorHAnsi"/>
              </w:rPr>
            </w:pPr>
            <w:r w:rsidRPr="002F5879">
              <w:rPr>
                <w:rFonts w:asciiTheme="majorHAnsi" w:hAnsiTheme="majorHAnsi" w:cstheme="majorHAnsi"/>
              </w:rPr>
              <w:t>75%</w:t>
            </w:r>
            <w:r w:rsidRPr="002F5879">
              <w:rPr>
                <w:rFonts w:asciiTheme="majorHAnsi" w:hAnsiTheme="majorHAnsi" w:cstheme="majorHAnsi"/>
              </w:rPr>
              <w:br/>
              <w:t>81%</w:t>
            </w:r>
            <w:r w:rsidRPr="002F5879">
              <w:rPr>
                <w:rFonts w:asciiTheme="majorHAnsi" w:hAnsiTheme="majorHAnsi" w:cstheme="majorHAnsi"/>
              </w:rPr>
              <w:br/>
              <w:t>78%</w:t>
            </w:r>
          </w:p>
        </w:tc>
      </w:tr>
    </w:tbl>
    <w:p w14:paraId="4432A4A2" w14:textId="77777777" w:rsidR="005C1C20" w:rsidRPr="00D91978" w:rsidRDefault="005C1C20" w:rsidP="005C1C20">
      <w:pPr>
        <w:spacing w:after="0"/>
        <w:ind w:left="720"/>
        <w:rPr>
          <w:rFonts w:asciiTheme="majorHAnsi" w:hAnsiTheme="majorHAnsi" w:cstheme="majorHAnsi"/>
          <w:sz w:val="20"/>
          <w:szCs w:val="20"/>
        </w:rPr>
      </w:pPr>
      <w:r w:rsidRPr="00B342EC">
        <w:rPr>
          <w:rFonts w:asciiTheme="majorHAnsi" w:hAnsiTheme="majorHAnsi" w:cstheme="majorHAnsi"/>
          <w:sz w:val="20"/>
          <w:szCs w:val="20"/>
        </w:rPr>
        <w:t xml:space="preserve">        * definition and data from </w:t>
      </w:r>
      <w:r w:rsidRPr="00B342EC">
        <w:rPr>
          <w:rFonts w:asciiTheme="majorHAnsi" w:hAnsiTheme="majorHAnsi" w:cstheme="majorHAnsi"/>
          <w:i/>
          <w:sz w:val="20"/>
          <w:szCs w:val="20"/>
        </w:rPr>
        <w:t>Strategic Information Reports</w:t>
      </w:r>
      <w:r w:rsidRPr="00B342EC">
        <w:rPr>
          <w:rFonts w:asciiTheme="majorHAnsi" w:hAnsiTheme="majorHAnsi" w:cstheme="majorHAnsi"/>
          <w:sz w:val="20"/>
          <w:szCs w:val="20"/>
        </w:rPr>
        <w:t>, provided annually by ATS.</w:t>
      </w:r>
    </w:p>
    <w:p w14:paraId="33DE9A4F" w14:textId="77777777" w:rsidR="005C1C20" w:rsidRPr="00D91978" w:rsidRDefault="005C1C20" w:rsidP="005A1B52">
      <w:pPr>
        <w:autoSpaceDE w:val="0"/>
        <w:autoSpaceDN w:val="0"/>
        <w:adjustRightInd w:val="0"/>
        <w:spacing w:after="0" w:line="240" w:lineRule="auto"/>
        <w:rPr>
          <w:rFonts w:asciiTheme="majorHAnsi" w:hAnsiTheme="majorHAnsi" w:cstheme="majorHAnsi"/>
        </w:rPr>
      </w:pPr>
    </w:p>
    <w:sectPr w:rsidR="005C1C20" w:rsidRPr="00D91978" w:rsidSect="009D6A5C">
      <w:footerReference w:type="even" r:id="rId11"/>
      <w:footerReference w:type="default" r:id="rId12"/>
      <w:pgSz w:w="12240" w:h="15840"/>
      <w:pgMar w:top="1134"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8348" w14:textId="77777777" w:rsidR="00A03CC5" w:rsidRDefault="00A03CC5" w:rsidP="00982762">
      <w:pPr>
        <w:spacing w:after="0" w:line="240" w:lineRule="auto"/>
      </w:pPr>
      <w:r>
        <w:separator/>
      </w:r>
    </w:p>
  </w:endnote>
  <w:endnote w:type="continuationSeparator" w:id="0">
    <w:p w14:paraId="1F0830F6" w14:textId="77777777" w:rsidR="00A03CC5" w:rsidRDefault="00A03CC5" w:rsidP="0098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348481"/>
      <w:docPartObj>
        <w:docPartGallery w:val="Page Numbers (Bottom of Page)"/>
        <w:docPartUnique/>
      </w:docPartObj>
    </w:sdtPr>
    <w:sdtEndPr>
      <w:rPr>
        <w:rStyle w:val="PageNumber"/>
      </w:rPr>
    </w:sdtEndPr>
    <w:sdtContent>
      <w:p w14:paraId="7CB3FA7E" w14:textId="01787F47" w:rsidR="00987EC0" w:rsidRDefault="00987EC0" w:rsidP="000123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751B3" w14:textId="77777777" w:rsidR="00987EC0" w:rsidRDefault="00987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648638760"/>
      <w:docPartObj>
        <w:docPartGallery w:val="Page Numbers (Bottom of Page)"/>
        <w:docPartUnique/>
      </w:docPartObj>
    </w:sdtPr>
    <w:sdtEndPr>
      <w:rPr>
        <w:rStyle w:val="PageNumber"/>
      </w:rPr>
    </w:sdtEndPr>
    <w:sdtContent>
      <w:p w14:paraId="16343000" w14:textId="7A768135" w:rsidR="00987EC0" w:rsidRPr="005B0586" w:rsidRDefault="00987EC0" w:rsidP="00012307">
        <w:pPr>
          <w:pStyle w:val="Footer"/>
          <w:framePr w:wrap="none" w:vAnchor="text" w:hAnchor="margin" w:xAlign="center" w:y="1"/>
          <w:rPr>
            <w:rStyle w:val="PageNumber"/>
            <w:sz w:val="20"/>
            <w:szCs w:val="20"/>
          </w:rPr>
        </w:pPr>
        <w:r w:rsidRPr="005B0586">
          <w:rPr>
            <w:rStyle w:val="PageNumber"/>
            <w:sz w:val="20"/>
            <w:szCs w:val="20"/>
          </w:rPr>
          <w:fldChar w:fldCharType="begin"/>
        </w:r>
        <w:r w:rsidRPr="005B0586">
          <w:rPr>
            <w:rStyle w:val="PageNumber"/>
            <w:sz w:val="20"/>
            <w:szCs w:val="20"/>
          </w:rPr>
          <w:instrText xml:space="preserve"> PAGE </w:instrText>
        </w:r>
        <w:r w:rsidRPr="005B0586">
          <w:rPr>
            <w:rStyle w:val="PageNumber"/>
            <w:sz w:val="20"/>
            <w:szCs w:val="20"/>
          </w:rPr>
          <w:fldChar w:fldCharType="separate"/>
        </w:r>
        <w:r w:rsidR="00EF68AA">
          <w:rPr>
            <w:rStyle w:val="PageNumber"/>
            <w:noProof/>
            <w:sz w:val="20"/>
            <w:szCs w:val="20"/>
          </w:rPr>
          <w:t>1</w:t>
        </w:r>
        <w:r w:rsidRPr="005B0586">
          <w:rPr>
            <w:rStyle w:val="PageNumber"/>
            <w:sz w:val="20"/>
            <w:szCs w:val="20"/>
          </w:rPr>
          <w:fldChar w:fldCharType="end"/>
        </w:r>
      </w:p>
    </w:sdtContent>
  </w:sdt>
  <w:p w14:paraId="72B2B110" w14:textId="06849CE8" w:rsidR="00987EC0" w:rsidRDefault="00987EC0" w:rsidP="0098276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F0F74" w14:textId="77777777" w:rsidR="00A03CC5" w:rsidRDefault="00A03CC5" w:rsidP="00982762">
      <w:pPr>
        <w:spacing w:after="0" w:line="240" w:lineRule="auto"/>
      </w:pPr>
      <w:r>
        <w:separator/>
      </w:r>
    </w:p>
  </w:footnote>
  <w:footnote w:type="continuationSeparator" w:id="0">
    <w:p w14:paraId="6A3B34D5" w14:textId="77777777" w:rsidR="00A03CC5" w:rsidRDefault="00A03CC5" w:rsidP="00982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E7E"/>
    <w:multiLevelType w:val="hybridMultilevel"/>
    <w:tmpl w:val="4C640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84A9D"/>
    <w:multiLevelType w:val="hybridMultilevel"/>
    <w:tmpl w:val="7F28A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7844C3"/>
    <w:multiLevelType w:val="hybridMultilevel"/>
    <w:tmpl w:val="4672F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D2007E"/>
    <w:multiLevelType w:val="hybridMultilevel"/>
    <w:tmpl w:val="0388E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4A4F19"/>
    <w:multiLevelType w:val="hybridMultilevel"/>
    <w:tmpl w:val="5400F0A4"/>
    <w:lvl w:ilvl="0" w:tplc="10090001">
      <w:start w:val="1"/>
      <w:numFmt w:val="bullet"/>
      <w:lvlText w:val=""/>
      <w:lvlJc w:val="left"/>
      <w:pPr>
        <w:ind w:left="3228" w:hanging="360"/>
      </w:pPr>
      <w:rPr>
        <w:rFonts w:ascii="Symbol" w:hAnsi="Symbol" w:hint="default"/>
      </w:rPr>
    </w:lvl>
    <w:lvl w:ilvl="1" w:tplc="04090003" w:tentative="1">
      <w:start w:val="1"/>
      <w:numFmt w:val="bullet"/>
      <w:lvlText w:val="o"/>
      <w:lvlJc w:val="left"/>
      <w:pPr>
        <w:ind w:left="3948" w:hanging="360"/>
      </w:pPr>
      <w:rPr>
        <w:rFonts w:ascii="Courier New" w:hAnsi="Courier New" w:hint="default"/>
      </w:rPr>
    </w:lvl>
    <w:lvl w:ilvl="2" w:tplc="04090005" w:tentative="1">
      <w:start w:val="1"/>
      <w:numFmt w:val="bullet"/>
      <w:lvlText w:val=""/>
      <w:lvlJc w:val="left"/>
      <w:pPr>
        <w:ind w:left="4668" w:hanging="360"/>
      </w:pPr>
      <w:rPr>
        <w:rFonts w:ascii="Wingdings" w:hAnsi="Wingdings" w:hint="default"/>
      </w:rPr>
    </w:lvl>
    <w:lvl w:ilvl="3" w:tplc="04090001" w:tentative="1">
      <w:start w:val="1"/>
      <w:numFmt w:val="bullet"/>
      <w:lvlText w:val=""/>
      <w:lvlJc w:val="left"/>
      <w:pPr>
        <w:ind w:left="5388" w:hanging="360"/>
      </w:pPr>
      <w:rPr>
        <w:rFonts w:ascii="Symbol" w:hAnsi="Symbol" w:hint="default"/>
      </w:rPr>
    </w:lvl>
    <w:lvl w:ilvl="4" w:tplc="04090003" w:tentative="1">
      <w:start w:val="1"/>
      <w:numFmt w:val="bullet"/>
      <w:lvlText w:val="o"/>
      <w:lvlJc w:val="left"/>
      <w:pPr>
        <w:ind w:left="6108" w:hanging="360"/>
      </w:pPr>
      <w:rPr>
        <w:rFonts w:ascii="Courier New" w:hAnsi="Courier New" w:hint="default"/>
      </w:rPr>
    </w:lvl>
    <w:lvl w:ilvl="5" w:tplc="04090005" w:tentative="1">
      <w:start w:val="1"/>
      <w:numFmt w:val="bullet"/>
      <w:lvlText w:val=""/>
      <w:lvlJc w:val="left"/>
      <w:pPr>
        <w:ind w:left="6828" w:hanging="360"/>
      </w:pPr>
      <w:rPr>
        <w:rFonts w:ascii="Wingdings" w:hAnsi="Wingdings" w:hint="default"/>
      </w:rPr>
    </w:lvl>
    <w:lvl w:ilvl="6" w:tplc="04090001" w:tentative="1">
      <w:start w:val="1"/>
      <w:numFmt w:val="bullet"/>
      <w:lvlText w:val=""/>
      <w:lvlJc w:val="left"/>
      <w:pPr>
        <w:ind w:left="7548" w:hanging="360"/>
      </w:pPr>
      <w:rPr>
        <w:rFonts w:ascii="Symbol" w:hAnsi="Symbol" w:hint="default"/>
      </w:rPr>
    </w:lvl>
    <w:lvl w:ilvl="7" w:tplc="04090003" w:tentative="1">
      <w:start w:val="1"/>
      <w:numFmt w:val="bullet"/>
      <w:lvlText w:val="o"/>
      <w:lvlJc w:val="left"/>
      <w:pPr>
        <w:ind w:left="8268" w:hanging="360"/>
      </w:pPr>
      <w:rPr>
        <w:rFonts w:ascii="Courier New" w:hAnsi="Courier New" w:hint="default"/>
      </w:rPr>
    </w:lvl>
    <w:lvl w:ilvl="8" w:tplc="04090005" w:tentative="1">
      <w:start w:val="1"/>
      <w:numFmt w:val="bullet"/>
      <w:lvlText w:val=""/>
      <w:lvlJc w:val="left"/>
      <w:pPr>
        <w:ind w:left="8988" w:hanging="360"/>
      </w:pPr>
      <w:rPr>
        <w:rFonts w:ascii="Wingdings" w:hAnsi="Wingdings" w:hint="default"/>
      </w:rPr>
    </w:lvl>
  </w:abstractNum>
  <w:abstractNum w:abstractNumId="5" w15:restartNumberingAfterBreak="0">
    <w:nsid w:val="2EF112C6"/>
    <w:multiLevelType w:val="hybridMultilevel"/>
    <w:tmpl w:val="C7383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9451CC"/>
    <w:multiLevelType w:val="hybridMultilevel"/>
    <w:tmpl w:val="B13A8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B9570B"/>
    <w:multiLevelType w:val="hybridMultilevel"/>
    <w:tmpl w:val="F900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FD4FC1"/>
    <w:multiLevelType w:val="hybridMultilevel"/>
    <w:tmpl w:val="BC129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466295"/>
    <w:multiLevelType w:val="hybridMultilevel"/>
    <w:tmpl w:val="56FC7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92627B"/>
    <w:multiLevelType w:val="hybridMultilevel"/>
    <w:tmpl w:val="8320E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EA4400"/>
    <w:multiLevelType w:val="hybridMultilevel"/>
    <w:tmpl w:val="C9880A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580458"/>
    <w:multiLevelType w:val="hybridMultilevel"/>
    <w:tmpl w:val="AAE48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D57B80"/>
    <w:multiLevelType w:val="hybridMultilevel"/>
    <w:tmpl w:val="7E10D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41604E"/>
    <w:multiLevelType w:val="hybridMultilevel"/>
    <w:tmpl w:val="D3E6A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4844934"/>
    <w:multiLevelType w:val="hybridMultilevel"/>
    <w:tmpl w:val="341EE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217A91"/>
    <w:multiLevelType w:val="hybridMultilevel"/>
    <w:tmpl w:val="DE5CF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E4775D"/>
    <w:multiLevelType w:val="hybridMultilevel"/>
    <w:tmpl w:val="E5BAB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5957260">
    <w:abstractNumId w:val="16"/>
  </w:num>
  <w:num w:numId="2" w16cid:durableId="530193454">
    <w:abstractNumId w:val="5"/>
  </w:num>
  <w:num w:numId="3" w16cid:durableId="1234974071">
    <w:abstractNumId w:val="7"/>
  </w:num>
  <w:num w:numId="4" w16cid:durableId="405151847">
    <w:abstractNumId w:val="9"/>
  </w:num>
  <w:num w:numId="5" w16cid:durableId="992488707">
    <w:abstractNumId w:val="2"/>
  </w:num>
  <w:num w:numId="6" w16cid:durableId="1490100536">
    <w:abstractNumId w:val="3"/>
  </w:num>
  <w:num w:numId="7" w16cid:durableId="1614170460">
    <w:abstractNumId w:val="4"/>
  </w:num>
  <w:num w:numId="8" w16cid:durableId="1987929607">
    <w:abstractNumId w:val="10"/>
  </w:num>
  <w:num w:numId="9" w16cid:durableId="179702632">
    <w:abstractNumId w:val="17"/>
  </w:num>
  <w:num w:numId="10" w16cid:durableId="1765418017">
    <w:abstractNumId w:val="14"/>
  </w:num>
  <w:num w:numId="11" w16cid:durableId="508760550">
    <w:abstractNumId w:val="13"/>
  </w:num>
  <w:num w:numId="12" w16cid:durableId="781606112">
    <w:abstractNumId w:val="12"/>
  </w:num>
  <w:num w:numId="13" w16cid:durableId="3554192">
    <w:abstractNumId w:val="1"/>
  </w:num>
  <w:num w:numId="14" w16cid:durableId="284819570">
    <w:abstractNumId w:val="6"/>
  </w:num>
  <w:num w:numId="15" w16cid:durableId="100877769">
    <w:abstractNumId w:val="15"/>
  </w:num>
  <w:num w:numId="16" w16cid:durableId="1882015369">
    <w:abstractNumId w:val="11"/>
  </w:num>
  <w:num w:numId="17" w16cid:durableId="102000903">
    <w:abstractNumId w:val="0"/>
  </w:num>
  <w:num w:numId="18" w16cid:durableId="259026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3C"/>
    <w:rsid w:val="00000F77"/>
    <w:rsid w:val="000113E0"/>
    <w:rsid w:val="00012307"/>
    <w:rsid w:val="00012B44"/>
    <w:rsid w:val="0009225B"/>
    <w:rsid w:val="000A5717"/>
    <w:rsid w:val="000C08DF"/>
    <w:rsid w:val="000C2A16"/>
    <w:rsid w:val="000D31AD"/>
    <w:rsid w:val="000E16BC"/>
    <w:rsid w:val="000E4200"/>
    <w:rsid w:val="000F160C"/>
    <w:rsid w:val="000F3B29"/>
    <w:rsid w:val="000F3B80"/>
    <w:rsid w:val="0010441B"/>
    <w:rsid w:val="00113E43"/>
    <w:rsid w:val="00116CA4"/>
    <w:rsid w:val="001400BD"/>
    <w:rsid w:val="001443C7"/>
    <w:rsid w:val="001866D5"/>
    <w:rsid w:val="001D03A7"/>
    <w:rsid w:val="001E03C0"/>
    <w:rsid w:val="001E0E96"/>
    <w:rsid w:val="001E24DF"/>
    <w:rsid w:val="001E570A"/>
    <w:rsid w:val="002071E4"/>
    <w:rsid w:val="00212A9F"/>
    <w:rsid w:val="002138DB"/>
    <w:rsid w:val="00225052"/>
    <w:rsid w:val="00226445"/>
    <w:rsid w:val="00244182"/>
    <w:rsid w:val="00244475"/>
    <w:rsid w:val="002629A8"/>
    <w:rsid w:val="0026489C"/>
    <w:rsid w:val="00265AA9"/>
    <w:rsid w:val="002850E0"/>
    <w:rsid w:val="002A0077"/>
    <w:rsid w:val="002A036B"/>
    <w:rsid w:val="002A4220"/>
    <w:rsid w:val="002B0891"/>
    <w:rsid w:val="002B0B1E"/>
    <w:rsid w:val="002B4A58"/>
    <w:rsid w:val="002D17BA"/>
    <w:rsid w:val="002E0FA2"/>
    <w:rsid w:val="002E1552"/>
    <w:rsid w:val="002E51C3"/>
    <w:rsid w:val="002E5D97"/>
    <w:rsid w:val="002F5879"/>
    <w:rsid w:val="00311FC3"/>
    <w:rsid w:val="00316766"/>
    <w:rsid w:val="00316CAB"/>
    <w:rsid w:val="00320DC1"/>
    <w:rsid w:val="00340CA4"/>
    <w:rsid w:val="003519A6"/>
    <w:rsid w:val="00353A64"/>
    <w:rsid w:val="00356070"/>
    <w:rsid w:val="00375F83"/>
    <w:rsid w:val="003804D6"/>
    <w:rsid w:val="00393865"/>
    <w:rsid w:val="00395C9E"/>
    <w:rsid w:val="003A2D9E"/>
    <w:rsid w:val="003B63E5"/>
    <w:rsid w:val="003B748C"/>
    <w:rsid w:val="003C143C"/>
    <w:rsid w:val="003C3F1F"/>
    <w:rsid w:val="003C4032"/>
    <w:rsid w:val="003D4C23"/>
    <w:rsid w:val="003E01BD"/>
    <w:rsid w:val="003E6E5B"/>
    <w:rsid w:val="00402D20"/>
    <w:rsid w:val="00406BC9"/>
    <w:rsid w:val="00407503"/>
    <w:rsid w:val="004226C6"/>
    <w:rsid w:val="00422CE0"/>
    <w:rsid w:val="00423505"/>
    <w:rsid w:val="00440FB9"/>
    <w:rsid w:val="00442E97"/>
    <w:rsid w:val="00462287"/>
    <w:rsid w:val="00480F63"/>
    <w:rsid w:val="00482C8D"/>
    <w:rsid w:val="004A0051"/>
    <w:rsid w:val="004B116B"/>
    <w:rsid w:val="004B25E3"/>
    <w:rsid w:val="004B3BAD"/>
    <w:rsid w:val="004B7147"/>
    <w:rsid w:val="004C5C9C"/>
    <w:rsid w:val="004F5C40"/>
    <w:rsid w:val="00507366"/>
    <w:rsid w:val="00511E19"/>
    <w:rsid w:val="00517EBB"/>
    <w:rsid w:val="005253C2"/>
    <w:rsid w:val="0054113C"/>
    <w:rsid w:val="0054737D"/>
    <w:rsid w:val="00552165"/>
    <w:rsid w:val="00553B30"/>
    <w:rsid w:val="00556DCC"/>
    <w:rsid w:val="00562E4E"/>
    <w:rsid w:val="00577180"/>
    <w:rsid w:val="00581DB3"/>
    <w:rsid w:val="00585F5D"/>
    <w:rsid w:val="00587FDF"/>
    <w:rsid w:val="005A1B52"/>
    <w:rsid w:val="005A392C"/>
    <w:rsid w:val="005A4168"/>
    <w:rsid w:val="005A4704"/>
    <w:rsid w:val="005B0586"/>
    <w:rsid w:val="005B45D8"/>
    <w:rsid w:val="005C1C20"/>
    <w:rsid w:val="005C5734"/>
    <w:rsid w:val="005C7B8D"/>
    <w:rsid w:val="005E17DE"/>
    <w:rsid w:val="005E3B63"/>
    <w:rsid w:val="005F7FBD"/>
    <w:rsid w:val="006023E7"/>
    <w:rsid w:val="006069A2"/>
    <w:rsid w:val="00613CF0"/>
    <w:rsid w:val="00621CDD"/>
    <w:rsid w:val="00624217"/>
    <w:rsid w:val="00625C0E"/>
    <w:rsid w:val="00627106"/>
    <w:rsid w:val="00642029"/>
    <w:rsid w:val="006672FC"/>
    <w:rsid w:val="006835AA"/>
    <w:rsid w:val="00697D90"/>
    <w:rsid w:val="006A3B83"/>
    <w:rsid w:val="006C028F"/>
    <w:rsid w:val="006C0516"/>
    <w:rsid w:val="006C6773"/>
    <w:rsid w:val="006E053C"/>
    <w:rsid w:val="006E0DE2"/>
    <w:rsid w:val="006F19EA"/>
    <w:rsid w:val="006F53DE"/>
    <w:rsid w:val="007010A6"/>
    <w:rsid w:val="007121B6"/>
    <w:rsid w:val="00726EDA"/>
    <w:rsid w:val="00730A13"/>
    <w:rsid w:val="0073259B"/>
    <w:rsid w:val="00751F26"/>
    <w:rsid w:val="007534BF"/>
    <w:rsid w:val="00762BF0"/>
    <w:rsid w:val="007766EE"/>
    <w:rsid w:val="00790683"/>
    <w:rsid w:val="007A5E8F"/>
    <w:rsid w:val="007B48B8"/>
    <w:rsid w:val="007B5709"/>
    <w:rsid w:val="007C2D5F"/>
    <w:rsid w:val="007E4E29"/>
    <w:rsid w:val="007F3521"/>
    <w:rsid w:val="00827FE1"/>
    <w:rsid w:val="0083273C"/>
    <w:rsid w:val="00841949"/>
    <w:rsid w:val="008423C2"/>
    <w:rsid w:val="00856E31"/>
    <w:rsid w:val="00865149"/>
    <w:rsid w:val="0087428A"/>
    <w:rsid w:val="00894017"/>
    <w:rsid w:val="008A1413"/>
    <w:rsid w:val="008A2324"/>
    <w:rsid w:val="008B2D87"/>
    <w:rsid w:val="008B76A6"/>
    <w:rsid w:val="008D33D2"/>
    <w:rsid w:val="008D5A82"/>
    <w:rsid w:val="008E1F54"/>
    <w:rsid w:val="008E302A"/>
    <w:rsid w:val="008F6AA6"/>
    <w:rsid w:val="00900F42"/>
    <w:rsid w:val="00922BAB"/>
    <w:rsid w:val="0092460A"/>
    <w:rsid w:val="00963EB6"/>
    <w:rsid w:val="009740B0"/>
    <w:rsid w:val="00980290"/>
    <w:rsid w:val="00982762"/>
    <w:rsid w:val="00983009"/>
    <w:rsid w:val="00987EC0"/>
    <w:rsid w:val="00995E38"/>
    <w:rsid w:val="00996555"/>
    <w:rsid w:val="00997E0F"/>
    <w:rsid w:val="009B18F0"/>
    <w:rsid w:val="009B4C86"/>
    <w:rsid w:val="009B6A65"/>
    <w:rsid w:val="009C1381"/>
    <w:rsid w:val="009C3205"/>
    <w:rsid w:val="009D116B"/>
    <w:rsid w:val="009D6A5C"/>
    <w:rsid w:val="009D6C6E"/>
    <w:rsid w:val="009E01D6"/>
    <w:rsid w:val="009E2DF2"/>
    <w:rsid w:val="009F4F88"/>
    <w:rsid w:val="009F6A19"/>
    <w:rsid w:val="00A03CC5"/>
    <w:rsid w:val="00A257FB"/>
    <w:rsid w:val="00A27145"/>
    <w:rsid w:val="00A342B2"/>
    <w:rsid w:val="00A54578"/>
    <w:rsid w:val="00A6359A"/>
    <w:rsid w:val="00A71605"/>
    <w:rsid w:val="00A743B7"/>
    <w:rsid w:val="00A80B6F"/>
    <w:rsid w:val="00A80D12"/>
    <w:rsid w:val="00A80D59"/>
    <w:rsid w:val="00A82309"/>
    <w:rsid w:val="00A825DD"/>
    <w:rsid w:val="00A90288"/>
    <w:rsid w:val="00A95E9E"/>
    <w:rsid w:val="00AA6E7E"/>
    <w:rsid w:val="00AB14CC"/>
    <w:rsid w:val="00AE05FB"/>
    <w:rsid w:val="00AE24F1"/>
    <w:rsid w:val="00AE7BE2"/>
    <w:rsid w:val="00AF1578"/>
    <w:rsid w:val="00B30855"/>
    <w:rsid w:val="00B32A6B"/>
    <w:rsid w:val="00B342EC"/>
    <w:rsid w:val="00B41C63"/>
    <w:rsid w:val="00B4740C"/>
    <w:rsid w:val="00B532B3"/>
    <w:rsid w:val="00B614E2"/>
    <w:rsid w:val="00B63B8A"/>
    <w:rsid w:val="00B67662"/>
    <w:rsid w:val="00B75F94"/>
    <w:rsid w:val="00B861A6"/>
    <w:rsid w:val="00B96B26"/>
    <w:rsid w:val="00B9716D"/>
    <w:rsid w:val="00BA28C8"/>
    <w:rsid w:val="00BD1598"/>
    <w:rsid w:val="00BD42AA"/>
    <w:rsid w:val="00BD7EF4"/>
    <w:rsid w:val="00BD7FFC"/>
    <w:rsid w:val="00BE1105"/>
    <w:rsid w:val="00BE3320"/>
    <w:rsid w:val="00BE777E"/>
    <w:rsid w:val="00BF0FE9"/>
    <w:rsid w:val="00BF6D66"/>
    <w:rsid w:val="00BF7CB4"/>
    <w:rsid w:val="00BF7DAD"/>
    <w:rsid w:val="00C04D18"/>
    <w:rsid w:val="00C13B66"/>
    <w:rsid w:val="00C20096"/>
    <w:rsid w:val="00C209DF"/>
    <w:rsid w:val="00C2327A"/>
    <w:rsid w:val="00C24EBB"/>
    <w:rsid w:val="00C24FE4"/>
    <w:rsid w:val="00C25F66"/>
    <w:rsid w:val="00C30ADC"/>
    <w:rsid w:val="00C33DC3"/>
    <w:rsid w:val="00C344FE"/>
    <w:rsid w:val="00C34DAA"/>
    <w:rsid w:val="00C44CE2"/>
    <w:rsid w:val="00C50294"/>
    <w:rsid w:val="00C563BF"/>
    <w:rsid w:val="00C60E83"/>
    <w:rsid w:val="00C659E7"/>
    <w:rsid w:val="00C851BC"/>
    <w:rsid w:val="00C875B3"/>
    <w:rsid w:val="00C93A6F"/>
    <w:rsid w:val="00C9476A"/>
    <w:rsid w:val="00C96EDE"/>
    <w:rsid w:val="00CB7A7F"/>
    <w:rsid w:val="00CE28B6"/>
    <w:rsid w:val="00CE34EE"/>
    <w:rsid w:val="00CE6A03"/>
    <w:rsid w:val="00CE7CAF"/>
    <w:rsid w:val="00D0077D"/>
    <w:rsid w:val="00D11AD5"/>
    <w:rsid w:val="00D31B00"/>
    <w:rsid w:val="00D33EEE"/>
    <w:rsid w:val="00D408DC"/>
    <w:rsid w:val="00D57364"/>
    <w:rsid w:val="00D64A74"/>
    <w:rsid w:val="00D71E42"/>
    <w:rsid w:val="00D73B10"/>
    <w:rsid w:val="00D77626"/>
    <w:rsid w:val="00D8509B"/>
    <w:rsid w:val="00D91978"/>
    <w:rsid w:val="00D92539"/>
    <w:rsid w:val="00DB68EB"/>
    <w:rsid w:val="00DD05FA"/>
    <w:rsid w:val="00DD37F8"/>
    <w:rsid w:val="00DD58B7"/>
    <w:rsid w:val="00DE2EA3"/>
    <w:rsid w:val="00DE6085"/>
    <w:rsid w:val="00DF4623"/>
    <w:rsid w:val="00E03699"/>
    <w:rsid w:val="00E04A97"/>
    <w:rsid w:val="00E17775"/>
    <w:rsid w:val="00E2018D"/>
    <w:rsid w:val="00E3357B"/>
    <w:rsid w:val="00E34A60"/>
    <w:rsid w:val="00E35302"/>
    <w:rsid w:val="00E357EF"/>
    <w:rsid w:val="00E36710"/>
    <w:rsid w:val="00E40818"/>
    <w:rsid w:val="00E41A5A"/>
    <w:rsid w:val="00E65FAB"/>
    <w:rsid w:val="00E66D3D"/>
    <w:rsid w:val="00E92753"/>
    <w:rsid w:val="00E934D2"/>
    <w:rsid w:val="00ED6FDE"/>
    <w:rsid w:val="00ED72A2"/>
    <w:rsid w:val="00EE0394"/>
    <w:rsid w:val="00EE4F45"/>
    <w:rsid w:val="00EF68AA"/>
    <w:rsid w:val="00F045CD"/>
    <w:rsid w:val="00F20B1F"/>
    <w:rsid w:val="00F22A25"/>
    <w:rsid w:val="00F23544"/>
    <w:rsid w:val="00F45AFE"/>
    <w:rsid w:val="00F54989"/>
    <w:rsid w:val="00F615E3"/>
    <w:rsid w:val="00F625C2"/>
    <w:rsid w:val="00F9117F"/>
    <w:rsid w:val="00F95EC2"/>
    <w:rsid w:val="00FA2518"/>
    <w:rsid w:val="00FA6B3B"/>
    <w:rsid w:val="00FA7E74"/>
    <w:rsid w:val="00FC2815"/>
    <w:rsid w:val="00FC5125"/>
    <w:rsid w:val="00FC7A4E"/>
    <w:rsid w:val="00FE10E8"/>
    <w:rsid w:val="00FE1138"/>
    <w:rsid w:val="00FF0C24"/>
    <w:rsid w:val="00FF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628A3D"/>
  <w15:docId w15:val="{D220F8D7-DA3B-40C0-9D87-B57A3F13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13C"/>
    <w:pPr>
      <w:spacing w:after="160" w:line="259"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3CF0"/>
    <w:rPr>
      <w:sz w:val="16"/>
      <w:szCs w:val="16"/>
    </w:rPr>
  </w:style>
  <w:style w:type="paragraph" w:styleId="CommentText">
    <w:name w:val="annotation text"/>
    <w:basedOn w:val="Normal"/>
    <w:link w:val="CommentTextChar"/>
    <w:uiPriority w:val="99"/>
    <w:unhideWhenUsed/>
    <w:rsid w:val="00613CF0"/>
    <w:pPr>
      <w:spacing w:line="240" w:lineRule="auto"/>
    </w:pPr>
    <w:rPr>
      <w:sz w:val="20"/>
      <w:szCs w:val="20"/>
    </w:rPr>
  </w:style>
  <w:style w:type="character" w:customStyle="1" w:styleId="CommentTextChar">
    <w:name w:val="Comment Text Char"/>
    <w:basedOn w:val="DefaultParagraphFont"/>
    <w:link w:val="CommentText"/>
    <w:uiPriority w:val="99"/>
    <w:rsid w:val="00613CF0"/>
    <w:rPr>
      <w:rFonts w:eastAsiaTheme="minorHAnsi"/>
      <w:sz w:val="20"/>
      <w:szCs w:val="20"/>
      <w:lang w:val="en-CA"/>
    </w:rPr>
  </w:style>
  <w:style w:type="table" w:styleId="TableGrid">
    <w:name w:val="Table Grid"/>
    <w:basedOn w:val="TableNormal"/>
    <w:uiPriority w:val="39"/>
    <w:rsid w:val="00613CF0"/>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C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CF0"/>
    <w:rPr>
      <w:rFonts w:ascii="Lucida Grande" w:eastAsiaTheme="minorHAnsi" w:hAnsi="Lucida Grande" w:cs="Lucida Grande"/>
      <w:sz w:val="18"/>
      <w:szCs w:val="18"/>
      <w:lang w:val="en-CA"/>
    </w:rPr>
  </w:style>
  <w:style w:type="paragraph" w:styleId="CommentSubject">
    <w:name w:val="annotation subject"/>
    <w:basedOn w:val="CommentText"/>
    <w:next w:val="CommentText"/>
    <w:link w:val="CommentSubjectChar"/>
    <w:uiPriority w:val="99"/>
    <w:semiHidden/>
    <w:unhideWhenUsed/>
    <w:rsid w:val="00422CE0"/>
    <w:rPr>
      <w:b/>
      <w:bCs/>
    </w:rPr>
  </w:style>
  <w:style w:type="character" w:customStyle="1" w:styleId="CommentSubjectChar">
    <w:name w:val="Comment Subject Char"/>
    <w:basedOn w:val="CommentTextChar"/>
    <w:link w:val="CommentSubject"/>
    <w:uiPriority w:val="99"/>
    <w:semiHidden/>
    <w:rsid w:val="00422CE0"/>
    <w:rPr>
      <w:rFonts w:eastAsiaTheme="minorHAnsi"/>
      <w:b/>
      <w:bCs/>
      <w:sz w:val="20"/>
      <w:szCs w:val="20"/>
      <w:lang w:val="en-CA"/>
    </w:rPr>
  </w:style>
  <w:style w:type="paragraph" w:styleId="Revision">
    <w:name w:val="Revision"/>
    <w:hidden/>
    <w:uiPriority w:val="99"/>
    <w:semiHidden/>
    <w:rsid w:val="002A4220"/>
    <w:rPr>
      <w:rFonts w:eastAsiaTheme="minorHAnsi"/>
      <w:sz w:val="22"/>
      <w:szCs w:val="22"/>
      <w:lang w:val="en-CA"/>
    </w:rPr>
  </w:style>
  <w:style w:type="paragraph" w:styleId="ListParagraph">
    <w:name w:val="List Paragraph"/>
    <w:basedOn w:val="Normal"/>
    <w:uiPriority w:val="34"/>
    <w:qFormat/>
    <w:rsid w:val="003C3F1F"/>
    <w:pPr>
      <w:ind w:left="720"/>
      <w:contextualSpacing/>
    </w:pPr>
  </w:style>
  <w:style w:type="paragraph" w:styleId="NormalWeb">
    <w:name w:val="Normal (Web)"/>
    <w:basedOn w:val="Normal"/>
    <w:uiPriority w:val="99"/>
    <w:unhideWhenUsed/>
    <w:rsid w:val="008A14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762"/>
    <w:rPr>
      <w:rFonts w:eastAsiaTheme="minorHAnsi"/>
      <w:sz w:val="22"/>
      <w:szCs w:val="22"/>
      <w:lang w:val="en-CA"/>
    </w:rPr>
  </w:style>
  <w:style w:type="paragraph" w:styleId="Footer">
    <w:name w:val="footer"/>
    <w:basedOn w:val="Normal"/>
    <w:link w:val="FooterChar"/>
    <w:uiPriority w:val="99"/>
    <w:unhideWhenUsed/>
    <w:rsid w:val="0098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762"/>
    <w:rPr>
      <w:rFonts w:eastAsiaTheme="minorHAnsi"/>
      <w:sz w:val="22"/>
      <w:szCs w:val="22"/>
      <w:lang w:val="en-CA"/>
    </w:rPr>
  </w:style>
  <w:style w:type="character" w:styleId="PageNumber">
    <w:name w:val="page number"/>
    <w:basedOn w:val="DefaultParagraphFont"/>
    <w:uiPriority w:val="99"/>
    <w:semiHidden/>
    <w:unhideWhenUsed/>
    <w:rsid w:val="00FC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91543">
      <w:bodyDiv w:val="1"/>
      <w:marLeft w:val="0"/>
      <w:marRight w:val="0"/>
      <w:marTop w:val="0"/>
      <w:marBottom w:val="0"/>
      <w:divBdr>
        <w:top w:val="none" w:sz="0" w:space="0" w:color="auto"/>
        <w:left w:val="none" w:sz="0" w:space="0" w:color="auto"/>
        <w:bottom w:val="none" w:sz="0" w:space="0" w:color="auto"/>
        <w:right w:val="none" w:sz="0" w:space="0" w:color="auto"/>
      </w:divBdr>
      <w:divsChild>
        <w:div w:id="1043097581">
          <w:marLeft w:val="0"/>
          <w:marRight w:val="0"/>
          <w:marTop w:val="0"/>
          <w:marBottom w:val="0"/>
          <w:divBdr>
            <w:top w:val="none" w:sz="0" w:space="0" w:color="auto"/>
            <w:left w:val="none" w:sz="0" w:space="0" w:color="auto"/>
            <w:bottom w:val="none" w:sz="0" w:space="0" w:color="auto"/>
            <w:right w:val="none" w:sz="0" w:space="0" w:color="auto"/>
          </w:divBdr>
          <w:divsChild>
            <w:div w:id="1684670242">
              <w:marLeft w:val="0"/>
              <w:marRight w:val="0"/>
              <w:marTop w:val="0"/>
              <w:marBottom w:val="0"/>
              <w:divBdr>
                <w:top w:val="none" w:sz="0" w:space="0" w:color="auto"/>
                <w:left w:val="none" w:sz="0" w:space="0" w:color="auto"/>
                <w:bottom w:val="none" w:sz="0" w:space="0" w:color="auto"/>
                <w:right w:val="none" w:sz="0" w:space="0" w:color="auto"/>
              </w:divBdr>
              <w:divsChild>
                <w:div w:id="141894057">
                  <w:marLeft w:val="0"/>
                  <w:marRight w:val="0"/>
                  <w:marTop w:val="0"/>
                  <w:marBottom w:val="0"/>
                  <w:divBdr>
                    <w:top w:val="none" w:sz="0" w:space="0" w:color="auto"/>
                    <w:left w:val="none" w:sz="0" w:space="0" w:color="auto"/>
                    <w:bottom w:val="none" w:sz="0" w:space="0" w:color="auto"/>
                    <w:right w:val="none" w:sz="0" w:space="0" w:color="auto"/>
                  </w:divBdr>
                  <w:divsChild>
                    <w:div w:id="709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0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CA"/>
              <a:t>Program Assessment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Outcome 1</c:v>
                </c:pt>
              </c:strCache>
            </c:strRef>
          </c:tx>
          <c:spPr>
            <a:solidFill>
              <a:schemeClr val="accent1"/>
            </a:solidFill>
            <a:ln>
              <a:noFill/>
            </a:ln>
            <a:effectLst/>
          </c:spPr>
          <c:invertIfNegative val="0"/>
          <c:cat>
            <c:strRef>
              <c:f>Sheet1!$A$2:$A$5</c:f>
              <c:strCache>
                <c:ptCount val="4"/>
                <c:pt idx="0">
                  <c:v>MDiv</c:v>
                </c:pt>
                <c:pt idx="1">
                  <c:v>MPS</c:v>
                </c:pt>
                <c:pt idx="2">
                  <c:v>MSMus</c:v>
                </c:pt>
                <c:pt idx="3">
                  <c:v>MTS</c:v>
                </c:pt>
              </c:strCache>
            </c:strRef>
          </c:cat>
          <c:val>
            <c:numRef>
              <c:f>Sheet1!$B$2:$B$5</c:f>
              <c:numCache>
                <c:formatCode>General</c:formatCode>
                <c:ptCount val="4"/>
                <c:pt idx="0">
                  <c:v>2.8</c:v>
                </c:pt>
                <c:pt idx="1">
                  <c:v>2.4</c:v>
                </c:pt>
                <c:pt idx="2">
                  <c:v>3</c:v>
                </c:pt>
                <c:pt idx="3">
                  <c:v>2.6</c:v>
                </c:pt>
              </c:numCache>
            </c:numRef>
          </c:val>
          <c:extLst>
            <c:ext xmlns:c16="http://schemas.microsoft.com/office/drawing/2014/chart" uri="{C3380CC4-5D6E-409C-BE32-E72D297353CC}">
              <c16:uniqueId val="{00000000-D124-4388-95E3-6965F4B23244}"/>
            </c:ext>
          </c:extLst>
        </c:ser>
        <c:ser>
          <c:idx val="1"/>
          <c:order val="1"/>
          <c:tx>
            <c:strRef>
              <c:f>Sheet1!$C$1</c:f>
              <c:strCache>
                <c:ptCount val="1"/>
                <c:pt idx="0">
                  <c:v>Outcome 2</c:v>
                </c:pt>
              </c:strCache>
            </c:strRef>
          </c:tx>
          <c:spPr>
            <a:solidFill>
              <a:schemeClr val="accent2"/>
            </a:solidFill>
            <a:ln>
              <a:noFill/>
            </a:ln>
            <a:effectLst/>
          </c:spPr>
          <c:invertIfNegative val="0"/>
          <c:cat>
            <c:strRef>
              <c:f>Sheet1!$A$2:$A$5</c:f>
              <c:strCache>
                <c:ptCount val="4"/>
                <c:pt idx="0">
                  <c:v>MDiv</c:v>
                </c:pt>
                <c:pt idx="1">
                  <c:v>MPS</c:v>
                </c:pt>
                <c:pt idx="2">
                  <c:v>MSMus</c:v>
                </c:pt>
                <c:pt idx="3">
                  <c:v>MTS</c:v>
                </c:pt>
              </c:strCache>
            </c:strRef>
          </c:cat>
          <c:val>
            <c:numRef>
              <c:f>Sheet1!$C$2:$C$5</c:f>
              <c:numCache>
                <c:formatCode>General</c:formatCode>
                <c:ptCount val="4"/>
                <c:pt idx="0">
                  <c:v>2.5</c:v>
                </c:pt>
                <c:pt idx="1">
                  <c:v>2</c:v>
                </c:pt>
                <c:pt idx="2">
                  <c:v>2.8</c:v>
                </c:pt>
                <c:pt idx="3">
                  <c:v>1.8</c:v>
                </c:pt>
              </c:numCache>
            </c:numRef>
          </c:val>
          <c:extLst>
            <c:ext xmlns:c16="http://schemas.microsoft.com/office/drawing/2014/chart" uri="{C3380CC4-5D6E-409C-BE32-E72D297353CC}">
              <c16:uniqueId val="{00000001-D124-4388-95E3-6965F4B23244}"/>
            </c:ext>
          </c:extLst>
        </c:ser>
        <c:ser>
          <c:idx val="2"/>
          <c:order val="2"/>
          <c:tx>
            <c:strRef>
              <c:f>Sheet1!$D$1</c:f>
              <c:strCache>
                <c:ptCount val="1"/>
                <c:pt idx="0">
                  <c:v>Outcome 3</c:v>
                </c:pt>
              </c:strCache>
            </c:strRef>
          </c:tx>
          <c:spPr>
            <a:solidFill>
              <a:schemeClr val="accent3"/>
            </a:solidFill>
            <a:ln>
              <a:noFill/>
            </a:ln>
            <a:effectLst/>
          </c:spPr>
          <c:invertIfNegative val="0"/>
          <c:cat>
            <c:strRef>
              <c:f>Sheet1!$A$2:$A$5</c:f>
              <c:strCache>
                <c:ptCount val="4"/>
                <c:pt idx="0">
                  <c:v>MDiv</c:v>
                </c:pt>
                <c:pt idx="1">
                  <c:v>MPS</c:v>
                </c:pt>
                <c:pt idx="2">
                  <c:v>MSMus</c:v>
                </c:pt>
                <c:pt idx="3">
                  <c:v>MTS</c:v>
                </c:pt>
              </c:strCache>
            </c:strRef>
          </c:cat>
          <c:val>
            <c:numRef>
              <c:f>Sheet1!$D$2:$D$5</c:f>
              <c:numCache>
                <c:formatCode>General</c:formatCode>
                <c:ptCount val="4"/>
                <c:pt idx="0">
                  <c:v>2.5</c:v>
                </c:pt>
                <c:pt idx="1">
                  <c:v>2.2000000000000002</c:v>
                </c:pt>
                <c:pt idx="2">
                  <c:v>3</c:v>
                </c:pt>
                <c:pt idx="3">
                  <c:v>2.6</c:v>
                </c:pt>
              </c:numCache>
            </c:numRef>
          </c:val>
          <c:extLst>
            <c:ext xmlns:c16="http://schemas.microsoft.com/office/drawing/2014/chart" uri="{C3380CC4-5D6E-409C-BE32-E72D297353CC}">
              <c16:uniqueId val="{00000002-D124-4388-95E3-6965F4B23244}"/>
            </c:ext>
          </c:extLst>
        </c:ser>
        <c:ser>
          <c:idx val="3"/>
          <c:order val="3"/>
          <c:tx>
            <c:strRef>
              <c:f>Sheet1!$E$1</c:f>
              <c:strCache>
                <c:ptCount val="1"/>
                <c:pt idx="0">
                  <c:v>Outcome 4</c:v>
                </c:pt>
              </c:strCache>
            </c:strRef>
          </c:tx>
          <c:spPr>
            <a:solidFill>
              <a:schemeClr val="accent4"/>
            </a:solidFill>
            <a:ln>
              <a:noFill/>
            </a:ln>
            <a:effectLst/>
          </c:spPr>
          <c:invertIfNegative val="0"/>
          <c:cat>
            <c:strRef>
              <c:f>Sheet1!$A$2:$A$5</c:f>
              <c:strCache>
                <c:ptCount val="4"/>
                <c:pt idx="0">
                  <c:v>MDiv</c:v>
                </c:pt>
                <c:pt idx="1">
                  <c:v>MPS</c:v>
                </c:pt>
                <c:pt idx="2">
                  <c:v>MSMus</c:v>
                </c:pt>
                <c:pt idx="3">
                  <c:v>MTS</c:v>
                </c:pt>
              </c:strCache>
            </c:strRef>
          </c:cat>
          <c:val>
            <c:numRef>
              <c:f>Sheet1!$E$2:$E$5</c:f>
              <c:numCache>
                <c:formatCode>General</c:formatCode>
                <c:ptCount val="4"/>
                <c:pt idx="0">
                  <c:v>2.2999999999999998</c:v>
                </c:pt>
              </c:numCache>
            </c:numRef>
          </c:val>
          <c:extLst>
            <c:ext xmlns:c16="http://schemas.microsoft.com/office/drawing/2014/chart" uri="{C3380CC4-5D6E-409C-BE32-E72D297353CC}">
              <c16:uniqueId val="{00000003-D124-4388-95E3-6965F4B23244}"/>
            </c:ext>
          </c:extLst>
        </c:ser>
        <c:dLbls>
          <c:showLegendKey val="0"/>
          <c:showVal val="0"/>
          <c:showCatName val="0"/>
          <c:showSerName val="0"/>
          <c:showPercent val="0"/>
          <c:showBubbleSize val="0"/>
        </c:dLbls>
        <c:gapWidth val="219"/>
        <c:overlap val="-27"/>
        <c:axId val="1654933615"/>
        <c:axId val="1654938415"/>
      </c:barChart>
      <c:catAx>
        <c:axId val="1654933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4938415"/>
        <c:crosses val="autoZero"/>
        <c:auto val="1"/>
        <c:lblAlgn val="ctr"/>
        <c:lblOffset val="100"/>
        <c:noMultiLvlLbl val="0"/>
      </c:catAx>
      <c:valAx>
        <c:axId val="1654938415"/>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49336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9cdc977-e281-415c-abcf-6c6cc6d268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D000A6A13974FB2B911E8660B2CF2" ma:contentTypeVersion="17" ma:contentTypeDescription="Create a new document." ma:contentTypeScope="" ma:versionID="3581e86f41e0ca66f14208ff099d5ef6">
  <xsd:schema xmlns:xsd="http://www.w3.org/2001/XMLSchema" xmlns:xs="http://www.w3.org/2001/XMLSchema" xmlns:p="http://schemas.microsoft.com/office/2006/metadata/properties" xmlns:ns3="90ff8225-4c1f-4d36-8fec-106798a660b4" xmlns:ns4="19cdc977-e281-415c-abcf-6c6cc6d2682f" targetNamespace="http://schemas.microsoft.com/office/2006/metadata/properties" ma:root="true" ma:fieldsID="3bb43f382d7bad10d3d2e6745f262e0d" ns3:_="" ns4:_="">
    <xsd:import namespace="90ff8225-4c1f-4d36-8fec-106798a660b4"/>
    <xsd:import namespace="19cdc977-e281-415c-abcf-6c6cc6d268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f8225-4c1f-4d36-8fec-106798a660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dc977-e281-415c-abcf-6c6cc6d268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05E6A-D885-43CA-84FC-B8B123126A49}">
  <ds:schemaRefs>
    <ds:schemaRef ds:uri="http://schemas.microsoft.com/office/2006/documentManagement/types"/>
    <ds:schemaRef ds:uri="19cdc977-e281-415c-abcf-6c6cc6d2682f"/>
    <ds:schemaRef ds:uri="90ff8225-4c1f-4d36-8fec-106798a660b4"/>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6537462-EF73-4907-9154-2D9A3E553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f8225-4c1f-4d36-8fec-106798a660b4"/>
    <ds:schemaRef ds:uri="19cdc977-e281-415c-abcf-6c6cc6d26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E83EC-C324-47D6-B877-011637B0F1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1600</Words>
  <Characters>9125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Emmanuel College</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Reynolds</dc:creator>
  <cp:keywords/>
  <dc:description/>
  <cp:lastModifiedBy>Andrew Aitchison</cp:lastModifiedBy>
  <cp:revision>2</cp:revision>
  <cp:lastPrinted>2023-09-08T16:56:00Z</cp:lastPrinted>
  <dcterms:created xsi:type="dcterms:W3CDTF">2024-01-10T15:37:00Z</dcterms:created>
  <dcterms:modified xsi:type="dcterms:W3CDTF">2024-01-10T15:37:00Z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0x010100044D000A6A13974FB2B911E8660B2CF2</vt:lpwstr>
  </property>
</Properties>
</file>